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20D8E" w14:textId="469782DB" w:rsidR="00BF7A96" w:rsidRDefault="00711B40">
      <w:pPr>
        <w:pStyle w:val="Corpsdetexte"/>
        <w:ind w:left="98"/>
        <w:rPr>
          <w:rFonts w:ascii="Times New Roman"/>
          <w:b w:val="0"/>
          <w:sz w:val="20"/>
        </w:rPr>
      </w:pPr>
      <w:r>
        <w:rPr>
          <w:rFonts w:ascii="Times New Roman"/>
          <w:b w:val="0"/>
          <w:noProof/>
          <w:sz w:val="20"/>
        </w:rPr>
        <mc:AlternateContent>
          <mc:Choice Requires="wps">
            <w:drawing>
              <wp:inline distT="0" distB="0" distL="0" distR="0" wp14:anchorId="0D0BC145" wp14:editId="37F17EBA">
                <wp:extent cx="5902325" cy="382905"/>
                <wp:effectExtent l="7620" t="9525" r="5080" b="762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2325" cy="38290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AB09A47" w14:textId="5002FF1B" w:rsidR="00BF7A96" w:rsidRDefault="00000000" w:rsidP="005641B1">
                            <w:pPr>
                              <w:pStyle w:val="Corpsdetexte"/>
                              <w:spacing w:before="17" w:line="242" w:lineRule="auto"/>
                              <w:jc w:val="center"/>
                            </w:pPr>
                            <w:r>
                              <w:t>APPEL</w:t>
                            </w:r>
                            <w:r>
                              <w:rPr>
                                <w:spacing w:val="10"/>
                              </w:rPr>
                              <w:t xml:space="preserve"> </w:t>
                            </w:r>
                            <w:r>
                              <w:t>A</w:t>
                            </w:r>
                            <w:r>
                              <w:rPr>
                                <w:spacing w:val="6"/>
                              </w:rPr>
                              <w:t xml:space="preserve"> </w:t>
                            </w:r>
                            <w:r>
                              <w:t>ETUDE</w:t>
                            </w:r>
                            <w:r>
                              <w:rPr>
                                <w:spacing w:val="8"/>
                              </w:rPr>
                              <w:t xml:space="preserve"> </w:t>
                            </w:r>
                            <w:r>
                              <w:t>CLINIQUE</w:t>
                            </w:r>
                            <w:r>
                              <w:rPr>
                                <w:spacing w:val="8"/>
                              </w:rPr>
                              <w:t xml:space="preserve"> </w:t>
                            </w:r>
                            <w:r>
                              <w:t>COLLABORATIVE</w:t>
                            </w:r>
                            <w:r>
                              <w:rPr>
                                <w:spacing w:val="15"/>
                              </w:rPr>
                              <w:t xml:space="preserve"> </w:t>
                            </w:r>
                            <w:r>
                              <w:t>AU</w:t>
                            </w:r>
                            <w:r>
                              <w:rPr>
                                <w:spacing w:val="7"/>
                              </w:rPr>
                              <w:t xml:space="preserve"> </w:t>
                            </w:r>
                            <w:r>
                              <w:t>SEIN</w:t>
                            </w:r>
                            <w:r>
                              <w:rPr>
                                <w:spacing w:val="8"/>
                              </w:rPr>
                              <w:t xml:space="preserve"> </w:t>
                            </w:r>
                            <w:r>
                              <w:t>DU</w:t>
                            </w:r>
                            <w:r>
                              <w:rPr>
                                <w:spacing w:val="1"/>
                              </w:rPr>
                              <w:t xml:space="preserve"> </w:t>
                            </w:r>
                            <w:r>
                              <w:t>GROUPE</w:t>
                            </w:r>
                            <w:r>
                              <w:rPr>
                                <w:spacing w:val="-1"/>
                              </w:rPr>
                              <w:t xml:space="preserve"> </w:t>
                            </w:r>
                            <w:r>
                              <w:t>FRANCOPHONE DE RECHERCHE SUR</w:t>
                            </w:r>
                            <w:r>
                              <w:rPr>
                                <w:spacing w:val="-1"/>
                              </w:rPr>
                              <w:t xml:space="preserve"> </w:t>
                            </w:r>
                            <w:r>
                              <w:t>LA</w:t>
                            </w:r>
                            <w:r>
                              <w:rPr>
                                <w:spacing w:val="-6"/>
                              </w:rPr>
                              <w:t xml:space="preserve"> </w:t>
                            </w:r>
                            <w:r>
                              <w:t>SCLERODERMIE</w:t>
                            </w:r>
                          </w:p>
                        </w:txbxContent>
                      </wps:txbx>
                      <wps:bodyPr rot="0" vert="horz" wrap="square" lIns="0" tIns="0" rIns="0" bIns="0" anchor="t" anchorCtr="0" upright="1">
                        <a:noAutofit/>
                      </wps:bodyPr>
                    </wps:wsp>
                  </a:graphicData>
                </a:graphic>
              </wp:inline>
            </w:drawing>
          </mc:Choice>
          <mc:Fallback xmlns="">
            <w:pict>
              <v:shapetype w14:anchorId="0D0BC145" id="_x0000_t202" coordsize="21600,21600" o:spt="202" path="m,l,21600r21600,l21600,xe">
                <v:stroke joinstyle="miter"/>
                <v:path gradientshapeok="t" o:connecttype="rect"/>
              </v:shapetype>
              <v:shape id="Text Box 2" o:spid="_x0000_s1026" type="#_x0000_t202" style="width:464.75pt;height:30.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" filled="f" strokeweight=".48pt">
                <v:textbox inset="0,0,0,0">
                  <w:txbxContent>
                    <w:p w14:paraId="4AB09A47" w14:textId="5002FF1B" w:rsidR="00BF7A96" w:rsidRDefault="00000000" w:rsidP="005641B1">
                      <w:pPr>
                        <w:pStyle w:val="Corpsdetexte"/>
                        <w:spacing w:before="17" w:line="242" w:lineRule="auto"/>
                        <w:jc w:val="center"/>
                      </w:pPr>
                      <w:r>
                        <w:t>APPEL</w:t>
                      </w:r>
                      <w:r>
                        <w:rPr>
                          <w:spacing w:val="10"/>
                        </w:rPr>
                        <w:t xml:space="preserve"> </w:t>
                      </w:r>
                      <w:r>
                        <w:t>A</w:t>
                      </w:r>
                      <w:r>
                        <w:rPr>
                          <w:spacing w:val="6"/>
                        </w:rPr>
                        <w:t xml:space="preserve"> </w:t>
                      </w:r>
                      <w:r>
                        <w:t>ETUDE</w:t>
                      </w:r>
                      <w:r>
                        <w:rPr>
                          <w:spacing w:val="8"/>
                        </w:rPr>
                        <w:t xml:space="preserve"> </w:t>
                      </w:r>
                      <w:r>
                        <w:t>CLINIQUE</w:t>
                      </w:r>
                      <w:r>
                        <w:rPr>
                          <w:spacing w:val="8"/>
                        </w:rPr>
                        <w:t xml:space="preserve"> </w:t>
                      </w:r>
                      <w:r>
                        <w:t>COLLABORATIVE</w:t>
                      </w:r>
                      <w:r>
                        <w:rPr>
                          <w:spacing w:val="15"/>
                        </w:rPr>
                        <w:t xml:space="preserve"> </w:t>
                      </w:r>
                      <w:r>
                        <w:t>AU</w:t>
                      </w:r>
                      <w:r>
                        <w:rPr>
                          <w:spacing w:val="7"/>
                        </w:rPr>
                        <w:t xml:space="preserve"> </w:t>
                      </w:r>
                      <w:r>
                        <w:t>SEIN</w:t>
                      </w:r>
                      <w:r>
                        <w:rPr>
                          <w:spacing w:val="8"/>
                        </w:rPr>
                        <w:t xml:space="preserve"> </w:t>
                      </w:r>
                      <w:r>
                        <w:t>DU</w:t>
                      </w:r>
                      <w:r>
                        <w:rPr>
                          <w:spacing w:val="1"/>
                        </w:rPr>
                        <w:t xml:space="preserve"> </w:t>
                      </w:r>
                      <w:r>
                        <w:t>GROUPE</w:t>
                      </w:r>
                      <w:r>
                        <w:rPr>
                          <w:spacing w:val="-1"/>
                        </w:rPr>
                        <w:t xml:space="preserve"> </w:t>
                      </w:r>
                      <w:r>
                        <w:t>FRANCOPHONE DE RECHERCHE SUR</w:t>
                      </w:r>
                      <w:r>
                        <w:rPr>
                          <w:spacing w:val="-1"/>
                        </w:rPr>
                        <w:t xml:space="preserve"> </w:t>
                      </w:r>
                      <w:r>
                        <w:t>LA</w:t>
                      </w:r>
                      <w:r>
                        <w:rPr>
                          <w:spacing w:val="-6"/>
                        </w:rPr>
                        <w:t xml:space="preserve"> </w:t>
                      </w:r>
                      <w:r>
                        <w:t>SCLERODERMIE</w:t>
                      </w:r>
                    </w:p>
                  </w:txbxContent>
                </v:textbox>
                <w10:anchorlock/>
              </v:shape>
            </w:pict>
          </mc:Fallback>
        </mc:AlternateContent>
      </w:r>
    </w:p>
    <w:p w14:paraId="59FEE909" w14:textId="77777777" w:rsidR="00BF7A96" w:rsidRDefault="00BF7A96">
      <w:pPr>
        <w:pStyle w:val="Corpsdetexte"/>
        <w:spacing w:before="8"/>
        <w:rPr>
          <w:rFonts w:ascii="Times New Roman"/>
          <w:b w:val="0"/>
          <w:sz w:val="12"/>
        </w:rPr>
      </w:pPr>
    </w:p>
    <w:p w14:paraId="606BF932" w14:textId="0D543436" w:rsidR="004B1D6E" w:rsidRPr="005641B1" w:rsidRDefault="00000000" w:rsidP="00370130">
      <w:pPr>
        <w:pStyle w:val="Paragraphedeliste"/>
        <w:numPr>
          <w:ilvl w:val="0"/>
          <w:numId w:val="1"/>
        </w:numPr>
        <w:tabs>
          <w:tab w:val="left" w:pos="486"/>
        </w:tabs>
        <w:spacing w:before="93"/>
        <w:ind w:hanging="270"/>
        <w:rPr>
          <w:b/>
          <w:sz w:val="24"/>
        </w:rPr>
      </w:pPr>
      <w:r w:rsidRPr="005641B1">
        <w:rPr>
          <w:b/>
          <w:sz w:val="24"/>
        </w:rPr>
        <w:t>Titre</w:t>
      </w:r>
      <w:r w:rsidRPr="005641B1">
        <w:rPr>
          <w:b/>
          <w:spacing w:val="-2"/>
          <w:sz w:val="24"/>
        </w:rPr>
        <w:t xml:space="preserve"> </w:t>
      </w:r>
      <w:r w:rsidRPr="005641B1">
        <w:rPr>
          <w:b/>
          <w:sz w:val="24"/>
        </w:rPr>
        <w:t>de</w:t>
      </w:r>
      <w:r w:rsidRPr="005641B1">
        <w:rPr>
          <w:b/>
          <w:spacing w:val="-1"/>
          <w:sz w:val="24"/>
        </w:rPr>
        <w:t xml:space="preserve"> </w:t>
      </w:r>
      <w:r w:rsidRPr="005641B1">
        <w:rPr>
          <w:b/>
          <w:sz w:val="24"/>
        </w:rPr>
        <w:t>l’étude</w:t>
      </w:r>
      <w:r w:rsidR="004B1D6E" w:rsidRPr="005641B1">
        <w:rPr>
          <w:b/>
          <w:sz w:val="24"/>
        </w:rPr>
        <w:t xml:space="preserve"> </w:t>
      </w:r>
    </w:p>
    <w:p w14:paraId="484EACBC" w14:textId="6421CDBC" w:rsidR="000961AB" w:rsidRDefault="000961AB" w:rsidP="000961AB">
      <w:pPr>
        <w:pStyle w:val="Paragraphedeliste"/>
        <w:pBdr>
          <w:top w:val="single" w:sz="4" w:space="1" w:color="auto"/>
          <w:left w:val="single" w:sz="4" w:space="4" w:color="auto"/>
          <w:bottom w:val="single" w:sz="4" w:space="1" w:color="auto"/>
          <w:right w:val="single" w:sz="4" w:space="4" w:color="auto"/>
        </w:pBdr>
        <w:tabs>
          <w:tab w:val="left" w:pos="486"/>
        </w:tabs>
        <w:spacing w:before="93"/>
        <w:ind w:left="485" w:firstLine="0"/>
        <w:rPr>
          <w:b/>
          <w:sz w:val="24"/>
        </w:rPr>
      </w:pPr>
      <w:proofErr w:type="spellStart"/>
      <w:r w:rsidRPr="000961AB">
        <w:rPr>
          <w:b/>
          <w:sz w:val="24"/>
        </w:rPr>
        <w:t>Evaluation</w:t>
      </w:r>
      <w:proofErr w:type="spellEnd"/>
      <w:r w:rsidRPr="000961AB">
        <w:rPr>
          <w:b/>
          <w:sz w:val="24"/>
        </w:rPr>
        <w:t xml:space="preserve"> de l’association rituximab</w:t>
      </w:r>
      <w:r w:rsidR="00E41F87">
        <w:rPr>
          <w:b/>
          <w:sz w:val="24"/>
        </w:rPr>
        <w:t xml:space="preserve"> </w:t>
      </w:r>
      <w:r w:rsidRPr="000961AB">
        <w:rPr>
          <w:b/>
          <w:sz w:val="24"/>
        </w:rPr>
        <w:t>-</w:t>
      </w:r>
      <w:r w:rsidR="00E41F87">
        <w:rPr>
          <w:b/>
          <w:sz w:val="24"/>
        </w:rPr>
        <w:t xml:space="preserve"> </w:t>
      </w:r>
      <w:proofErr w:type="spellStart"/>
      <w:r w:rsidRPr="000961AB">
        <w:rPr>
          <w:b/>
          <w:sz w:val="24"/>
        </w:rPr>
        <w:t>mycophenolate</w:t>
      </w:r>
      <w:proofErr w:type="spellEnd"/>
      <w:r w:rsidRPr="000961AB">
        <w:rPr>
          <w:b/>
          <w:sz w:val="24"/>
        </w:rPr>
        <w:t xml:space="preserve"> </w:t>
      </w:r>
      <w:proofErr w:type="spellStart"/>
      <w:r w:rsidRPr="000961AB">
        <w:rPr>
          <w:b/>
          <w:sz w:val="24"/>
        </w:rPr>
        <w:t>mofetil</w:t>
      </w:r>
      <w:proofErr w:type="spellEnd"/>
      <w:r w:rsidRPr="000961AB">
        <w:rPr>
          <w:b/>
          <w:sz w:val="24"/>
        </w:rPr>
        <w:t xml:space="preserve"> dans la sclérodermie systémique : une étude rétrospective Française multicentrique</w:t>
      </w:r>
    </w:p>
    <w:p w14:paraId="700E46D0" w14:textId="2E6B6A35" w:rsidR="000961AB" w:rsidRPr="005641B1" w:rsidRDefault="000961AB" w:rsidP="005641B1">
      <w:pPr>
        <w:pStyle w:val="Paragraphedeliste"/>
        <w:pBdr>
          <w:top w:val="single" w:sz="4" w:space="1" w:color="auto"/>
          <w:left w:val="single" w:sz="4" w:space="4" w:color="auto"/>
          <w:bottom w:val="single" w:sz="4" w:space="1" w:color="auto"/>
          <w:right w:val="single" w:sz="4" w:space="4" w:color="auto"/>
        </w:pBdr>
        <w:tabs>
          <w:tab w:val="left" w:pos="486"/>
        </w:tabs>
        <w:spacing w:before="93"/>
        <w:ind w:left="485" w:firstLine="0"/>
        <w:jc w:val="center"/>
        <w:rPr>
          <w:b/>
          <w:sz w:val="24"/>
        </w:rPr>
      </w:pPr>
      <w:proofErr w:type="spellStart"/>
      <w:r w:rsidRPr="005641B1">
        <w:rPr>
          <w:b/>
          <w:sz w:val="24"/>
        </w:rPr>
        <w:t>MycR</w:t>
      </w:r>
      <w:r w:rsidR="00BE6B11">
        <w:rPr>
          <w:b/>
          <w:sz w:val="24"/>
        </w:rPr>
        <w:t>i</w:t>
      </w:r>
      <w:r w:rsidRPr="005641B1">
        <w:rPr>
          <w:b/>
          <w:sz w:val="24"/>
        </w:rPr>
        <w:t>S</w:t>
      </w:r>
      <w:proofErr w:type="spellEnd"/>
    </w:p>
    <w:p w14:paraId="2005F43D" w14:textId="77777777" w:rsidR="000961AB" w:rsidRDefault="000961AB" w:rsidP="005641B1">
      <w:pPr>
        <w:pStyle w:val="Paragraphedeliste"/>
        <w:tabs>
          <w:tab w:val="left" w:pos="486"/>
        </w:tabs>
        <w:spacing w:before="93"/>
        <w:ind w:left="485" w:firstLine="0"/>
        <w:rPr>
          <w:bCs/>
          <w:sz w:val="24"/>
        </w:rPr>
      </w:pPr>
    </w:p>
    <w:p w14:paraId="4CE534D0" w14:textId="1415FBE5" w:rsidR="000961AB" w:rsidRPr="005641B1" w:rsidRDefault="000961AB" w:rsidP="00370130">
      <w:pPr>
        <w:pStyle w:val="Paragraphedeliste"/>
        <w:numPr>
          <w:ilvl w:val="0"/>
          <w:numId w:val="1"/>
        </w:numPr>
        <w:tabs>
          <w:tab w:val="left" w:pos="486"/>
        </w:tabs>
        <w:spacing w:before="93"/>
        <w:ind w:hanging="270"/>
        <w:rPr>
          <w:b/>
          <w:sz w:val="24"/>
        </w:rPr>
      </w:pPr>
      <w:r w:rsidRPr="005641B1">
        <w:rPr>
          <w:b/>
          <w:sz w:val="24"/>
        </w:rPr>
        <w:t>Porteur et responsable</w:t>
      </w:r>
      <w:r w:rsidR="005F4A5C">
        <w:rPr>
          <w:b/>
          <w:sz w:val="24"/>
        </w:rPr>
        <w:t xml:space="preserve"> du projet</w:t>
      </w:r>
    </w:p>
    <w:p w14:paraId="59C4BF44" w14:textId="77777777" w:rsidR="00BF7A96" w:rsidRDefault="00BF7A96" w:rsidP="00370130">
      <w:pPr>
        <w:pStyle w:val="Corpsdetexte"/>
        <w:spacing w:before="11"/>
        <w:jc w:val="both"/>
        <w:rPr>
          <w:sz w:val="21"/>
        </w:rPr>
      </w:pPr>
    </w:p>
    <w:p w14:paraId="6DBE76B9" w14:textId="186D8E5D" w:rsidR="00DB1DEF" w:rsidRPr="003B507C" w:rsidRDefault="00000000" w:rsidP="005641B1">
      <w:pPr>
        <w:pStyle w:val="Paragraphedeliste"/>
        <w:ind w:left="1081"/>
      </w:pPr>
      <w:r w:rsidRPr="00CF74EF">
        <w:rPr>
          <w:bCs/>
          <w:sz w:val="24"/>
        </w:rPr>
        <w:t>Porteur :</w:t>
      </w:r>
      <w:r w:rsidRPr="005641B1">
        <w:rPr>
          <w:bCs/>
          <w:sz w:val="24"/>
        </w:rPr>
        <w:t xml:space="preserve"> </w:t>
      </w:r>
    </w:p>
    <w:p w14:paraId="59B2C7F6" w14:textId="1B91212C" w:rsidR="00122D14" w:rsidRPr="001B252F" w:rsidRDefault="00122D14" w:rsidP="001B252F">
      <w:pPr>
        <w:tabs>
          <w:tab w:val="left" w:pos="548"/>
        </w:tabs>
        <w:ind w:right="210"/>
        <w:rPr>
          <w:sz w:val="24"/>
          <w:szCs w:val="24"/>
        </w:rPr>
      </w:pPr>
      <w:bookmarkStart w:id="0" w:name="_Hlk119880056"/>
      <w:r w:rsidRPr="001B252F">
        <w:rPr>
          <w:sz w:val="24"/>
          <w:szCs w:val="24"/>
        </w:rPr>
        <w:t xml:space="preserve">Dr </w:t>
      </w:r>
      <w:r w:rsidR="004B1D6E" w:rsidRPr="001B252F">
        <w:rPr>
          <w:sz w:val="24"/>
          <w:szCs w:val="24"/>
        </w:rPr>
        <w:t>B</w:t>
      </w:r>
      <w:r w:rsidRPr="001B252F">
        <w:rPr>
          <w:sz w:val="24"/>
          <w:szCs w:val="24"/>
        </w:rPr>
        <w:t>ARDE</w:t>
      </w:r>
      <w:r w:rsidR="004B1D6E" w:rsidRPr="001B252F">
        <w:rPr>
          <w:sz w:val="24"/>
          <w:szCs w:val="24"/>
        </w:rPr>
        <w:t xml:space="preserve"> François, </w:t>
      </w:r>
    </w:p>
    <w:p w14:paraId="1FAF2EAC" w14:textId="21B6EA1D" w:rsidR="00BF7A96" w:rsidRPr="00CF74EF" w:rsidRDefault="00122D14" w:rsidP="001B252F">
      <w:pPr>
        <w:pStyle w:val="Corpsdetexte"/>
        <w:jc w:val="both"/>
        <w:rPr>
          <w:b w:val="0"/>
          <w:bCs w:val="0"/>
        </w:rPr>
      </w:pPr>
      <w:r w:rsidRPr="00CF74EF">
        <w:rPr>
          <w:b w:val="0"/>
          <w:bCs w:val="0"/>
        </w:rPr>
        <w:t>S</w:t>
      </w:r>
      <w:r w:rsidR="004B1D6E" w:rsidRPr="00CF74EF">
        <w:rPr>
          <w:b w:val="0"/>
          <w:bCs w:val="0"/>
        </w:rPr>
        <w:t>ervice de médecine interne</w:t>
      </w:r>
      <w:r w:rsidRPr="00CF74EF">
        <w:rPr>
          <w:b w:val="0"/>
          <w:bCs w:val="0"/>
        </w:rPr>
        <w:t>, H</w:t>
      </w:r>
      <w:r w:rsidR="004B1D6E" w:rsidRPr="00CF74EF">
        <w:rPr>
          <w:b w:val="0"/>
          <w:bCs w:val="0"/>
        </w:rPr>
        <w:t>ôpital Cochin, APHP, Paris</w:t>
      </w:r>
    </w:p>
    <w:p w14:paraId="01403115" w14:textId="0ECA47F7" w:rsidR="00122D14" w:rsidRPr="00CF74EF" w:rsidRDefault="00122D14" w:rsidP="001B252F">
      <w:pPr>
        <w:pStyle w:val="Corpsdetexte"/>
        <w:jc w:val="both"/>
        <w:rPr>
          <w:b w:val="0"/>
          <w:bCs w:val="0"/>
        </w:rPr>
      </w:pPr>
      <w:r w:rsidRPr="00CF74EF">
        <w:rPr>
          <w:b w:val="0"/>
          <w:bCs w:val="0"/>
        </w:rPr>
        <w:t>27 Rue du Faubourg Saint-Jacques, 75014 Paris</w:t>
      </w:r>
    </w:p>
    <w:p w14:paraId="7BC72280" w14:textId="36B8FA83" w:rsidR="00122D14" w:rsidRPr="00CF74EF" w:rsidRDefault="00122D14" w:rsidP="001B252F">
      <w:pPr>
        <w:pStyle w:val="Corpsdetexte"/>
        <w:jc w:val="both"/>
        <w:rPr>
          <w:rStyle w:val="Lienhypertexte"/>
          <w:b w:val="0"/>
          <w:bCs w:val="0"/>
          <w:color w:val="auto"/>
          <w:u w:val="none"/>
        </w:rPr>
      </w:pPr>
      <w:r w:rsidRPr="00CF74EF">
        <w:rPr>
          <w:b w:val="0"/>
          <w:bCs w:val="0"/>
        </w:rPr>
        <w:t xml:space="preserve">Mail : </w:t>
      </w:r>
      <w:hyperlink r:id="rId5" w:history="1">
        <w:r w:rsidRPr="00CF74EF">
          <w:rPr>
            <w:rStyle w:val="Lienhypertexte"/>
            <w:b w:val="0"/>
            <w:bCs w:val="0"/>
          </w:rPr>
          <w:t>francois.barde@aphp.fr</w:t>
        </w:r>
      </w:hyperlink>
    </w:p>
    <w:bookmarkEnd w:id="0"/>
    <w:p w14:paraId="53970B5B" w14:textId="77777777" w:rsidR="00122D14" w:rsidRPr="00122D14" w:rsidRDefault="00122D14" w:rsidP="005641B1">
      <w:pPr>
        <w:pStyle w:val="Corpsdetexte"/>
        <w:jc w:val="both"/>
        <w:rPr>
          <w:b w:val="0"/>
          <w:bCs w:val="0"/>
        </w:rPr>
      </w:pPr>
    </w:p>
    <w:p w14:paraId="1E9E4B16" w14:textId="71CDC13F" w:rsidR="00BF7A96" w:rsidRPr="003B507C" w:rsidRDefault="00000000" w:rsidP="005641B1">
      <w:pPr>
        <w:pStyle w:val="Paragraphedeliste"/>
        <w:tabs>
          <w:tab w:val="left" w:pos="500"/>
        </w:tabs>
        <w:ind w:left="216" w:right="212" w:firstLine="0"/>
        <w:rPr>
          <w:bCs/>
          <w:sz w:val="24"/>
        </w:rPr>
      </w:pPr>
      <w:r w:rsidRPr="003B507C">
        <w:rPr>
          <w:bCs/>
          <w:sz w:val="24"/>
        </w:rPr>
        <w:t xml:space="preserve">Responsable </w:t>
      </w:r>
    </w:p>
    <w:p w14:paraId="7DC73CBE" w14:textId="46BD56EA" w:rsidR="00122D14" w:rsidRPr="00122D14" w:rsidRDefault="00122D14" w:rsidP="00370130">
      <w:pPr>
        <w:pStyle w:val="Corpsdetexte"/>
        <w:spacing w:before="1"/>
        <w:jc w:val="both"/>
        <w:rPr>
          <w:b w:val="0"/>
          <w:bCs w:val="0"/>
        </w:rPr>
      </w:pPr>
      <w:r w:rsidRPr="00122D14">
        <w:rPr>
          <w:b w:val="0"/>
          <w:bCs w:val="0"/>
        </w:rPr>
        <w:t xml:space="preserve">Dr CHAIGNE Benjamin, </w:t>
      </w:r>
    </w:p>
    <w:p w14:paraId="5F7233B1" w14:textId="143E8C9A" w:rsidR="00122D14" w:rsidRPr="00122D14" w:rsidRDefault="00122D14" w:rsidP="00370130">
      <w:pPr>
        <w:pStyle w:val="Corpsdetexte"/>
        <w:spacing w:before="1"/>
        <w:jc w:val="both"/>
        <w:rPr>
          <w:b w:val="0"/>
          <w:bCs w:val="0"/>
        </w:rPr>
      </w:pPr>
      <w:r w:rsidRPr="00122D14">
        <w:rPr>
          <w:b w:val="0"/>
          <w:bCs w:val="0"/>
        </w:rPr>
        <w:t>Service de médecine interne, Hôpital Cochin, APHP, Paris</w:t>
      </w:r>
    </w:p>
    <w:p w14:paraId="3B35F214" w14:textId="512069BC" w:rsidR="00122D14" w:rsidRPr="00122D14" w:rsidRDefault="00122D14" w:rsidP="00370130">
      <w:pPr>
        <w:pStyle w:val="Corpsdetexte"/>
        <w:spacing w:before="1"/>
        <w:jc w:val="both"/>
        <w:rPr>
          <w:b w:val="0"/>
          <w:bCs w:val="0"/>
        </w:rPr>
      </w:pPr>
      <w:r w:rsidRPr="00122D14">
        <w:rPr>
          <w:b w:val="0"/>
          <w:bCs w:val="0"/>
        </w:rPr>
        <w:t>27 Rue du Faubourg Saint-Jacques, 75014 Paris</w:t>
      </w:r>
    </w:p>
    <w:p w14:paraId="1F94CEDF" w14:textId="0A80A51A" w:rsidR="00122D14" w:rsidRPr="00122D14" w:rsidRDefault="00122D14" w:rsidP="00370130">
      <w:pPr>
        <w:pStyle w:val="Corpsdetexte"/>
        <w:spacing w:before="1"/>
        <w:jc w:val="both"/>
        <w:rPr>
          <w:b w:val="0"/>
          <w:bCs w:val="0"/>
        </w:rPr>
      </w:pPr>
      <w:r w:rsidRPr="00122D14">
        <w:rPr>
          <w:b w:val="0"/>
          <w:bCs w:val="0"/>
        </w:rPr>
        <w:t>Tel :</w:t>
      </w:r>
      <w:r w:rsidR="00DB1DEF">
        <w:rPr>
          <w:b w:val="0"/>
          <w:bCs w:val="0"/>
        </w:rPr>
        <w:t xml:space="preserve"> 0158412215</w:t>
      </w:r>
    </w:p>
    <w:p w14:paraId="39B35339" w14:textId="39CDDD97" w:rsidR="00BF7A96" w:rsidRPr="00122D14" w:rsidRDefault="00122D14" w:rsidP="00370130">
      <w:pPr>
        <w:pStyle w:val="Corpsdetexte"/>
        <w:spacing w:before="1"/>
        <w:jc w:val="both"/>
        <w:rPr>
          <w:b w:val="0"/>
          <w:bCs w:val="0"/>
        </w:rPr>
      </w:pPr>
      <w:r w:rsidRPr="00122D14">
        <w:rPr>
          <w:b w:val="0"/>
          <w:bCs w:val="0"/>
        </w:rPr>
        <w:t>Mail : benjamin.chaigne@aphp.fr</w:t>
      </w:r>
    </w:p>
    <w:p w14:paraId="1E0B2104" w14:textId="77777777" w:rsidR="004B1D6E" w:rsidRDefault="004B1D6E" w:rsidP="00370130">
      <w:pPr>
        <w:pStyle w:val="Corpsdetexte"/>
        <w:spacing w:before="1"/>
        <w:jc w:val="both"/>
      </w:pPr>
    </w:p>
    <w:p w14:paraId="0AE0D2AF" w14:textId="499437E4" w:rsidR="004B1D6E" w:rsidRPr="00CF74EF" w:rsidRDefault="00000000" w:rsidP="005641B1">
      <w:pPr>
        <w:pStyle w:val="Paragraphedeliste"/>
        <w:numPr>
          <w:ilvl w:val="0"/>
          <w:numId w:val="1"/>
        </w:numPr>
        <w:tabs>
          <w:tab w:val="left" w:pos="560"/>
        </w:tabs>
        <w:ind w:left="216" w:right="214" w:firstLine="0"/>
        <w:rPr>
          <w:b/>
          <w:color w:val="000000" w:themeColor="text1"/>
          <w:sz w:val="24"/>
        </w:rPr>
      </w:pPr>
      <w:r w:rsidRPr="005641B1">
        <w:rPr>
          <w:b/>
          <w:sz w:val="24"/>
        </w:rPr>
        <w:t>Résumé</w:t>
      </w:r>
      <w:r w:rsidRPr="005641B1">
        <w:rPr>
          <w:b/>
          <w:spacing w:val="1"/>
          <w:sz w:val="24"/>
        </w:rPr>
        <w:t xml:space="preserve"> </w:t>
      </w:r>
      <w:r w:rsidRPr="00CF74EF">
        <w:rPr>
          <w:b/>
          <w:color w:val="000000" w:themeColor="text1"/>
          <w:sz w:val="24"/>
        </w:rPr>
        <w:t>(250</w:t>
      </w:r>
      <w:r w:rsidRPr="00CF74EF">
        <w:rPr>
          <w:b/>
          <w:color w:val="000000" w:themeColor="text1"/>
          <w:spacing w:val="1"/>
          <w:sz w:val="24"/>
        </w:rPr>
        <w:t xml:space="preserve"> </w:t>
      </w:r>
      <w:r w:rsidRPr="00CF74EF">
        <w:rPr>
          <w:b/>
          <w:color w:val="000000" w:themeColor="text1"/>
          <w:sz w:val="24"/>
        </w:rPr>
        <w:t xml:space="preserve">mots) </w:t>
      </w:r>
    </w:p>
    <w:p w14:paraId="6FAB35F4" w14:textId="77777777" w:rsidR="008C4968" w:rsidRDefault="008C4968" w:rsidP="005641B1">
      <w:pPr>
        <w:tabs>
          <w:tab w:val="left" w:pos="1297"/>
        </w:tabs>
        <w:spacing w:before="1"/>
        <w:jc w:val="both"/>
        <w:rPr>
          <w:b/>
          <w:bCs/>
          <w:sz w:val="24"/>
          <w:szCs w:val="24"/>
        </w:rPr>
      </w:pPr>
    </w:p>
    <w:p w14:paraId="1AF327A3" w14:textId="6A08D39E" w:rsidR="00DB1DEF" w:rsidRDefault="00DB1DEF" w:rsidP="005641B1">
      <w:pPr>
        <w:tabs>
          <w:tab w:val="left" w:pos="1297"/>
        </w:tabs>
        <w:spacing w:before="1"/>
        <w:jc w:val="both"/>
        <w:rPr>
          <w:sz w:val="24"/>
          <w:szCs w:val="24"/>
          <w:shd w:val="clear" w:color="auto" w:fill="FFFFFF"/>
        </w:rPr>
      </w:pPr>
      <w:r w:rsidRPr="005641B1">
        <w:rPr>
          <w:b/>
          <w:bCs/>
          <w:sz w:val="24"/>
          <w:szCs w:val="24"/>
        </w:rPr>
        <w:t>Question posé et rationnel</w:t>
      </w:r>
      <w:r>
        <w:rPr>
          <w:sz w:val="24"/>
          <w:szCs w:val="24"/>
        </w:rPr>
        <w:t xml:space="preserve"> : </w:t>
      </w:r>
      <w:r w:rsidR="009D1C4F">
        <w:rPr>
          <w:sz w:val="24"/>
          <w:szCs w:val="24"/>
        </w:rPr>
        <w:t>l</w:t>
      </w:r>
      <w:r w:rsidR="00C43180" w:rsidRPr="00AD51E9">
        <w:rPr>
          <w:sz w:val="24"/>
          <w:szCs w:val="24"/>
        </w:rPr>
        <w:t>a sclérodermie systémique (</w:t>
      </w:r>
      <w:proofErr w:type="spellStart"/>
      <w:r w:rsidR="00C43180" w:rsidRPr="00AD51E9">
        <w:rPr>
          <w:sz w:val="24"/>
          <w:szCs w:val="24"/>
        </w:rPr>
        <w:t>ScS</w:t>
      </w:r>
      <w:proofErr w:type="spellEnd"/>
      <w:r w:rsidR="00C43180" w:rsidRPr="00AD51E9">
        <w:rPr>
          <w:sz w:val="24"/>
          <w:szCs w:val="24"/>
        </w:rPr>
        <w:t xml:space="preserve">) est une </w:t>
      </w:r>
      <w:r>
        <w:rPr>
          <w:sz w:val="24"/>
          <w:szCs w:val="24"/>
        </w:rPr>
        <w:t xml:space="preserve">maladie auto-immune systémique responsable </w:t>
      </w:r>
      <w:r w:rsidR="00BC19FD">
        <w:rPr>
          <w:sz w:val="24"/>
          <w:szCs w:val="24"/>
        </w:rPr>
        <w:t>de</w:t>
      </w:r>
      <w:r>
        <w:rPr>
          <w:sz w:val="24"/>
          <w:szCs w:val="24"/>
        </w:rPr>
        <w:t xml:space="preserve"> </w:t>
      </w:r>
      <w:proofErr w:type="spellStart"/>
      <w:r>
        <w:rPr>
          <w:sz w:val="24"/>
          <w:szCs w:val="24"/>
        </w:rPr>
        <w:t>vasculopathie</w:t>
      </w:r>
      <w:proofErr w:type="spellEnd"/>
      <w:r>
        <w:rPr>
          <w:sz w:val="24"/>
          <w:szCs w:val="24"/>
        </w:rPr>
        <w:t xml:space="preserve">, </w:t>
      </w:r>
      <w:r w:rsidR="00BC19FD">
        <w:rPr>
          <w:sz w:val="24"/>
          <w:szCs w:val="24"/>
        </w:rPr>
        <w:t>de</w:t>
      </w:r>
      <w:r>
        <w:rPr>
          <w:sz w:val="24"/>
          <w:szCs w:val="24"/>
        </w:rPr>
        <w:t xml:space="preserve"> dysautonomie et </w:t>
      </w:r>
      <w:r w:rsidR="00BC19FD">
        <w:rPr>
          <w:sz w:val="24"/>
          <w:szCs w:val="24"/>
        </w:rPr>
        <w:t>de</w:t>
      </w:r>
      <w:r>
        <w:rPr>
          <w:sz w:val="24"/>
          <w:szCs w:val="24"/>
        </w:rPr>
        <w:t xml:space="preserve"> fibrose.</w:t>
      </w:r>
      <w:r>
        <w:rPr>
          <w:rFonts w:eastAsiaTheme="majorEastAsia"/>
          <w:sz w:val="24"/>
          <w:szCs w:val="24"/>
          <w:shd w:val="clear" w:color="auto" w:fill="FFFFFF"/>
        </w:rPr>
        <w:t xml:space="preserve"> A ce jour</w:t>
      </w:r>
      <w:r w:rsidR="00C43180" w:rsidRPr="004906CE">
        <w:rPr>
          <w:sz w:val="24"/>
          <w:szCs w:val="24"/>
        </w:rPr>
        <w:t xml:space="preserve">, il n’existe pas de traitement curatif de la </w:t>
      </w:r>
      <w:proofErr w:type="spellStart"/>
      <w:r w:rsidR="00C43180" w:rsidRPr="004906CE">
        <w:rPr>
          <w:sz w:val="24"/>
          <w:szCs w:val="24"/>
        </w:rPr>
        <w:t>ScS</w:t>
      </w:r>
      <w:proofErr w:type="spellEnd"/>
      <w:r w:rsidR="000961AB">
        <w:rPr>
          <w:sz w:val="24"/>
          <w:szCs w:val="24"/>
        </w:rPr>
        <w:t xml:space="preserve"> et p</w:t>
      </w:r>
      <w:r>
        <w:rPr>
          <w:sz w:val="24"/>
          <w:szCs w:val="24"/>
        </w:rPr>
        <w:t>armi les traitements immunomodulateurs, le rituximab</w:t>
      </w:r>
      <w:r w:rsidR="009D1C4F">
        <w:rPr>
          <w:sz w:val="24"/>
          <w:szCs w:val="24"/>
        </w:rPr>
        <w:t xml:space="preserve"> (RTX)</w:t>
      </w:r>
      <w:r>
        <w:rPr>
          <w:sz w:val="24"/>
          <w:szCs w:val="24"/>
        </w:rPr>
        <w:t xml:space="preserve"> et le </w:t>
      </w:r>
      <w:proofErr w:type="spellStart"/>
      <w:r>
        <w:rPr>
          <w:sz w:val="24"/>
          <w:szCs w:val="24"/>
        </w:rPr>
        <w:t>mycophenolate</w:t>
      </w:r>
      <w:proofErr w:type="spellEnd"/>
      <w:r>
        <w:rPr>
          <w:sz w:val="24"/>
          <w:szCs w:val="24"/>
        </w:rPr>
        <w:t xml:space="preserve"> </w:t>
      </w:r>
      <w:proofErr w:type="spellStart"/>
      <w:r>
        <w:rPr>
          <w:sz w:val="24"/>
          <w:szCs w:val="24"/>
        </w:rPr>
        <w:t>mofetil</w:t>
      </w:r>
      <w:proofErr w:type="spellEnd"/>
      <w:r w:rsidR="009D1C4F">
        <w:rPr>
          <w:sz w:val="24"/>
          <w:szCs w:val="24"/>
        </w:rPr>
        <w:t xml:space="preserve"> (MMF)</w:t>
      </w:r>
      <w:r>
        <w:rPr>
          <w:sz w:val="24"/>
          <w:szCs w:val="24"/>
        </w:rPr>
        <w:t xml:space="preserve"> sont utilisé</w:t>
      </w:r>
      <w:r w:rsidR="009D1C4F">
        <w:rPr>
          <w:sz w:val="24"/>
          <w:szCs w:val="24"/>
        </w:rPr>
        <w:t xml:space="preserve">s pour l’atteinte cutanée </w:t>
      </w:r>
      <w:r w:rsidR="00BC19FD">
        <w:rPr>
          <w:sz w:val="24"/>
          <w:szCs w:val="24"/>
        </w:rPr>
        <w:t>et</w:t>
      </w:r>
      <w:r w:rsidR="009D1C4F">
        <w:rPr>
          <w:sz w:val="24"/>
          <w:szCs w:val="24"/>
        </w:rPr>
        <w:t xml:space="preserve"> pour l’atteinte respiratoire.</w:t>
      </w:r>
      <w:r w:rsidR="000961AB">
        <w:rPr>
          <w:sz w:val="24"/>
          <w:szCs w:val="24"/>
        </w:rPr>
        <w:t xml:space="preserve"> Pourtant,</w:t>
      </w:r>
      <w:r w:rsidR="000961AB">
        <w:rPr>
          <w:sz w:val="24"/>
          <w:szCs w:val="24"/>
          <w:shd w:val="clear" w:color="auto" w:fill="FFFFFF"/>
        </w:rPr>
        <w:t xml:space="preserve"> a</w:t>
      </w:r>
      <w:r>
        <w:rPr>
          <w:sz w:val="24"/>
          <w:szCs w:val="24"/>
          <w:shd w:val="clear" w:color="auto" w:fill="FFFFFF"/>
        </w:rPr>
        <w:t>ucune étude n’a évalué l’efficacité et la tolérance de ces médicaments lorsqu’ils sont utilisés en association.</w:t>
      </w:r>
    </w:p>
    <w:p w14:paraId="18C716CA" w14:textId="5A637B97" w:rsidR="00C43180" w:rsidRDefault="00DB1DEF" w:rsidP="00370130">
      <w:pPr>
        <w:tabs>
          <w:tab w:val="left" w:pos="1297"/>
        </w:tabs>
        <w:spacing w:before="1"/>
        <w:jc w:val="both"/>
        <w:rPr>
          <w:sz w:val="24"/>
          <w:szCs w:val="24"/>
          <w:shd w:val="clear" w:color="auto" w:fill="FFFFFF"/>
        </w:rPr>
      </w:pPr>
      <w:r w:rsidRPr="005641B1">
        <w:rPr>
          <w:b/>
          <w:bCs/>
          <w:sz w:val="24"/>
          <w:szCs w:val="24"/>
        </w:rPr>
        <w:t>Objectif</w:t>
      </w:r>
      <w:r>
        <w:rPr>
          <w:sz w:val="24"/>
          <w:szCs w:val="24"/>
        </w:rPr>
        <w:t xml:space="preserve"> : </w:t>
      </w:r>
      <w:r>
        <w:rPr>
          <w:sz w:val="24"/>
          <w:szCs w:val="24"/>
          <w:shd w:val="clear" w:color="auto" w:fill="FFFFFF"/>
        </w:rPr>
        <w:t>l</w:t>
      </w:r>
      <w:r w:rsidR="00C43180" w:rsidRPr="00AD51E9">
        <w:rPr>
          <w:sz w:val="24"/>
          <w:szCs w:val="24"/>
          <w:shd w:val="clear" w:color="auto" w:fill="FFFFFF"/>
        </w:rPr>
        <w:t xml:space="preserve">’objectif de cette étude est </w:t>
      </w:r>
      <w:r>
        <w:rPr>
          <w:sz w:val="24"/>
          <w:szCs w:val="24"/>
          <w:shd w:val="clear" w:color="auto" w:fill="FFFFFF"/>
        </w:rPr>
        <w:t xml:space="preserve">d’évaluer </w:t>
      </w:r>
      <w:r w:rsidR="00C43180" w:rsidRPr="00AD51E9">
        <w:rPr>
          <w:sz w:val="24"/>
          <w:szCs w:val="24"/>
          <w:shd w:val="clear" w:color="auto" w:fill="FFFFFF"/>
        </w:rPr>
        <w:t xml:space="preserve">la tolérance et l’efficacité </w:t>
      </w:r>
      <w:r>
        <w:rPr>
          <w:sz w:val="24"/>
          <w:szCs w:val="24"/>
          <w:shd w:val="clear" w:color="auto" w:fill="FFFFFF"/>
        </w:rPr>
        <w:t xml:space="preserve">de l’association </w:t>
      </w:r>
      <w:r w:rsidR="009D1C4F">
        <w:rPr>
          <w:sz w:val="24"/>
          <w:szCs w:val="24"/>
          <w:shd w:val="clear" w:color="auto" w:fill="FFFFFF"/>
        </w:rPr>
        <w:t>RTX</w:t>
      </w:r>
      <w:r>
        <w:rPr>
          <w:sz w:val="24"/>
          <w:szCs w:val="24"/>
          <w:shd w:val="clear" w:color="auto" w:fill="FFFFFF"/>
        </w:rPr>
        <w:t>/</w:t>
      </w:r>
      <w:r w:rsidR="009D1C4F">
        <w:rPr>
          <w:sz w:val="24"/>
          <w:szCs w:val="24"/>
          <w:shd w:val="clear" w:color="auto" w:fill="FFFFFF"/>
        </w:rPr>
        <w:t xml:space="preserve">MMF </w:t>
      </w:r>
      <w:r>
        <w:rPr>
          <w:sz w:val="24"/>
          <w:szCs w:val="24"/>
          <w:shd w:val="clear" w:color="auto" w:fill="FFFFFF"/>
        </w:rPr>
        <w:t xml:space="preserve">dans la </w:t>
      </w:r>
      <w:proofErr w:type="spellStart"/>
      <w:r w:rsidR="00BC19FD">
        <w:rPr>
          <w:sz w:val="24"/>
          <w:szCs w:val="24"/>
          <w:shd w:val="clear" w:color="auto" w:fill="FFFFFF"/>
        </w:rPr>
        <w:t>ScS</w:t>
      </w:r>
      <w:proofErr w:type="spellEnd"/>
      <w:r>
        <w:rPr>
          <w:sz w:val="24"/>
          <w:szCs w:val="24"/>
          <w:shd w:val="clear" w:color="auto" w:fill="FFFFFF"/>
        </w:rPr>
        <w:t xml:space="preserve"> </w:t>
      </w:r>
      <w:r w:rsidR="009D1C4F">
        <w:rPr>
          <w:sz w:val="24"/>
          <w:szCs w:val="24"/>
          <w:shd w:val="clear" w:color="auto" w:fill="FFFFFF"/>
        </w:rPr>
        <w:t>comparativement</w:t>
      </w:r>
      <w:r w:rsidR="00C43180" w:rsidRPr="00AD51E9">
        <w:rPr>
          <w:sz w:val="24"/>
          <w:szCs w:val="24"/>
          <w:shd w:val="clear" w:color="auto" w:fill="FFFFFF"/>
        </w:rPr>
        <w:t xml:space="preserve"> </w:t>
      </w:r>
      <w:r>
        <w:rPr>
          <w:sz w:val="24"/>
          <w:szCs w:val="24"/>
          <w:shd w:val="clear" w:color="auto" w:fill="FFFFFF"/>
        </w:rPr>
        <w:t>à l’utilisation de ces traitement</w:t>
      </w:r>
      <w:r w:rsidR="00CF74EF">
        <w:rPr>
          <w:sz w:val="24"/>
          <w:szCs w:val="24"/>
          <w:shd w:val="clear" w:color="auto" w:fill="FFFFFF"/>
        </w:rPr>
        <w:t>s</w:t>
      </w:r>
      <w:r>
        <w:rPr>
          <w:sz w:val="24"/>
          <w:szCs w:val="24"/>
          <w:shd w:val="clear" w:color="auto" w:fill="FFFFFF"/>
        </w:rPr>
        <w:t xml:space="preserve"> en </w:t>
      </w:r>
      <w:r w:rsidR="009D1C4F">
        <w:rPr>
          <w:sz w:val="24"/>
          <w:szCs w:val="24"/>
          <w:shd w:val="clear" w:color="auto" w:fill="FFFFFF"/>
        </w:rPr>
        <w:t>monothérapie</w:t>
      </w:r>
      <w:r w:rsidR="00C43180" w:rsidRPr="00AD51E9">
        <w:rPr>
          <w:sz w:val="24"/>
          <w:szCs w:val="24"/>
          <w:shd w:val="clear" w:color="auto" w:fill="FFFFFF"/>
        </w:rPr>
        <w:t>.</w:t>
      </w:r>
    </w:p>
    <w:p w14:paraId="32DEC1A6" w14:textId="2F6FC97E" w:rsidR="00DB1DEF" w:rsidRDefault="00DB1DEF" w:rsidP="00370130">
      <w:pPr>
        <w:tabs>
          <w:tab w:val="left" w:pos="1297"/>
        </w:tabs>
        <w:spacing w:before="1"/>
        <w:jc w:val="both"/>
        <w:rPr>
          <w:sz w:val="24"/>
          <w:szCs w:val="24"/>
          <w:shd w:val="clear" w:color="auto" w:fill="FFFFFF"/>
        </w:rPr>
      </w:pPr>
      <w:proofErr w:type="gramStart"/>
      <w:r w:rsidRPr="005641B1">
        <w:rPr>
          <w:b/>
          <w:bCs/>
          <w:sz w:val="24"/>
          <w:szCs w:val="24"/>
          <w:shd w:val="clear" w:color="auto" w:fill="FFFFFF"/>
        </w:rPr>
        <w:t>Méthode</w:t>
      </w:r>
      <w:r>
        <w:rPr>
          <w:sz w:val="24"/>
          <w:szCs w:val="24"/>
          <w:shd w:val="clear" w:color="auto" w:fill="FFFFFF"/>
        </w:rPr>
        <w:t>:</w:t>
      </w:r>
      <w:proofErr w:type="gramEnd"/>
      <w:r>
        <w:rPr>
          <w:sz w:val="24"/>
          <w:szCs w:val="24"/>
          <w:shd w:val="clear" w:color="auto" w:fill="FFFFFF"/>
        </w:rPr>
        <w:t xml:space="preserve"> il s’agit d’une étude multicentrique</w:t>
      </w:r>
      <w:r w:rsidR="009D1C4F">
        <w:rPr>
          <w:sz w:val="24"/>
          <w:szCs w:val="24"/>
          <w:shd w:val="clear" w:color="auto" w:fill="FFFFFF"/>
        </w:rPr>
        <w:t xml:space="preserve"> </w:t>
      </w:r>
      <w:r w:rsidR="00643F44">
        <w:rPr>
          <w:sz w:val="24"/>
          <w:szCs w:val="24"/>
          <w:shd w:val="clear" w:color="auto" w:fill="FFFFFF"/>
        </w:rPr>
        <w:t xml:space="preserve">de cohorte </w:t>
      </w:r>
      <w:proofErr w:type="spellStart"/>
      <w:r w:rsidR="00643F44">
        <w:rPr>
          <w:sz w:val="24"/>
          <w:szCs w:val="24"/>
          <w:shd w:val="clear" w:color="auto" w:fill="FFFFFF"/>
        </w:rPr>
        <w:t>ambrispectif</w:t>
      </w:r>
      <w:proofErr w:type="spellEnd"/>
      <w:r w:rsidR="00643F44">
        <w:rPr>
          <w:sz w:val="24"/>
          <w:szCs w:val="24"/>
          <w:shd w:val="clear" w:color="auto" w:fill="FFFFFF"/>
        </w:rPr>
        <w:t xml:space="preserve"> </w:t>
      </w:r>
      <w:r w:rsidR="009D1C4F">
        <w:rPr>
          <w:sz w:val="24"/>
          <w:szCs w:val="24"/>
          <w:shd w:val="clear" w:color="auto" w:fill="FFFFFF"/>
        </w:rPr>
        <w:t>menée en France au sein du Groupe Francophone de Recherche sur la Sclérodermie</w:t>
      </w:r>
      <w:r>
        <w:rPr>
          <w:sz w:val="24"/>
          <w:szCs w:val="24"/>
          <w:shd w:val="clear" w:color="auto" w:fill="FFFFFF"/>
        </w:rPr>
        <w:t xml:space="preserve"> incluant des patients atteints de </w:t>
      </w:r>
      <w:proofErr w:type="spellStart"/>
      <w:r>
        <w:rPr>
          <w:sz w:val="24"/>
          <w:szCs w:val="24"/>
          <w:shd w:val="clear" w:color="auto" w:fill="FFFFFF"/>
        </w:rPr>
        <w:t>ScS</w:t>
      </w:r>
      <w:proofErr w:type="spellEnd"/>
      <w:r>
        <w:rPr>
          <w:sz w:val="24"/>
          <w:szCs w:val="24"/>
          <w:shd w:val="clear" w:color="auto" w:fill="FFFFFF"/>
        </w:rPr>
        <w:t xml:space="preserve"> selon les critères ACR/EULAR 2013 ayant reçu du </w:t>
      </w:r>
      <w:r w:rsidR="009D1C4F">
        <w:rPr>
          <w:sz w:val="24"/>
          <w:szCs w:val="24"/>
          <w:shd w:val="clear" w:color="auto" w:fill="FFFFFF"/>
        </w:rPr>
        <w:t>RTX</w:t>
      </w:r>
      <w:r>
        <w:rPr>
          <w:sz w:val="24"/>
          <w:szCs w:val="24"/>
          <w:shd w:val="clear" w:color="auto" w:fill="FFFFFF"/>
        </w:rPr>
        <w:t xml:space="preserve"> et/ou du </w:t>
      </w:r>
      <w:r w:rsidR="009D1C4F">
        <w:rPr>
          <w:sz w:val="24"/>
          <w:szCs w:val="24"/>
          <w:shd w:val="clear" w:color="auto" w:fill="FFFFFF"/>
        </w:rPr>
        <w:t>MMF.</w:t>
      </w:r>
      <w:r w:rsidR="000961AB">
        <w:rPr>
          <w:sz w:val="24"/>
          <w:szCs w:val="24"/>
          <w:shd w:val="clear" w:color="auto" w:fill="FFFFFF"/>
        </w:rPr>
        <w:t xml:space="preserve"> </w:t>
      </w:r>
      <w:r>
        <w:rPr>
          <w:sz w:val="24"/>
          <w:szCs w:val="24"/>
          <w:shd w:val="clear" w:color="auto" w:fill="FFFFFF"/>
        </w:rPr>
        <w:t>Nous décrirons les patients ayant reçu du RTX</w:t>
      </w:r>
      <w:r w:rsidR="009D1C4F">
        <w:rPr>
          <w:sz w:val="24"/>
          <w:szCs w:val="24"/>
          <w:shd w:val="clear" w:color="auto" w:fill="FFFFFF"/>
        </w:rPr>
        <w:t>/</w:t>
      </w:r>
      <w:r>
        <w:rPr>
          <w:sz w:val="24"/>
          <w:szCs w:val="24"/>
          <w:shd w:val="clear" w:color="auto" w:fill="FFFFFF"/>
        </w:rPr>
        <w:t>MMF comparativement à des patients ayant reçu soit du MMF soit du RTX</w:t>
      </w:r>
      <w:r w:rsidR="009D1C4F">
        <w:rPr>
          <w:sz w:val="24"/>
          <w:szCs w:val="24"/>
          <w:shd w:val="clear" w:color="auto" w:fill="FFFFFF"/>
        </w:rPr>
        <w:t>.</w:t>
      </w:r>
      <w:r w:rsidR="000961AB">
        <w:rPr>
          <w:sz w:val="24"/>
          <w:szCs w:val="24"/>
          <w:shd w:val="clear" w:color="auto" w:fill="FFFFFF"/>
        </w:rPr>
        <w:t xml:space="preserve"> </w:t>
      </w:r>
    </w:p>
    <w:p w14:paraId="5D6F6899" w14:textId="3E4731B7" w:rsidR="009D1C4F" w:rsidRPr="00AD51E9" w:rsidRDefault="00DB1DEF" w:rsidP="00370130">
      <w:pPr>
        <w:tabs>
          <w:tab w:val="left" w:pos="1297"/>
        </w:tabs>
        <w:spacing w:before="1"/>
        <w:jc w:val="both"/>
        <w:rPr>
          <w:sz w:val="24"/>
          <w:szCs w:val="24"/>
          <w:shd w:val="clear" w:color="auto" w:fill="FFFFFF"/>
        </w:rPr>
      </w:pPr>
      <w:r>
        <w:rPr>
          <w:sz w:val="24"/>
          <w:szCs w:val="24"/>
          <w:shd w:val="clear" w:color="auto" w:fill="FFFFFF"/>
        </w:rPr>
        <w:t xml:space="preserve">Le critère de jugement </w:t>
      </w:r>
      <w:r w:rsidR="009D1C4F">
        <w:rPr>
          <w:sz w:val="24"/>
          <w:szCs w:val="24"/>
          <w:shd w:val="clear" w:color="auto" w:fill="FFFFFF"/>
        </w:rPr>
        <w:t>principal</w:t>
      </w:r>
      <w:r>
        <w:rPr>
          <w:sz w:val="24"/>
          <w:szCs w:val="24"/>
          <w:shd w:val="clear" w:color="auto" w:fill="FFFFFF"/>
        </w:rPr>
        <w:t xml:space="preserve"> sera la différence de fibrose</w:t>
      </w:r>
      <w:r w:rsidR="000961AB">
        <w:rPr>
          <w:sz w:val="24"/>
          <w:szCs w:val="24"/>
          <w:shd w:val="clear" w:color="auto" w:fill="FFFFFF"/>
        </w:rPr>
        <w:t>,</w:t>
      </w:r>
      <w:r>
        <w:rPr>
          <w:sz w:val="24"/>
          <w:szCs w:val="24"/>
          <w:shd w:val="clear" w:color="auto" w:fill="FFFFFF"/>
        </w:rPr>
        <w:t xml:space="preserve"> cutanée et pulmonaire</w:t>
      </w:r>
      <w:r w:rsidR="000961AB">
        <w:rPr>
          <w:sz w:val="24"/>
          <w:szCs w:val="24"/>
          <w:shd w:val="clear" w:color="auto" w:fill="FFFFFF"/>
        </w:rPr>
        <w:t>,</w:t>
      </w:r>
      <w:r>
        <w:rPr>
          <w:sz w:val="24"/>
          <w:szCs w:val="24"/>
          <w:shd w:val="clear" w:color="auto" w:fill="FFFFFF"/>
        </w:rPr>
        <w:t xml:space="preserve"> évaluée à un an de la première perfusion de RTX ou de l’initiation du MMF par la différence d</w:t>
      </w:r>
      <w:r w:rsidR="000961AB">
        <w:rPr>
          <w:sz w:val="24"/>
          <w:szCs w:val="24"/>
          <w:shd w:val="clear" w:color="auto" w:fill="FFFFFF"/>
        </w:rPr>
        <w:t xml:space="preserve">u score cutanée modifié de </w:t>
      </w:r>
      <w:proofErr w:type="spellStart"/>
      <w:r w:rsidR="000961AB">
        <w:rPr>
          <w:sz w:val="24"/>
          <w:szCs w:val="24"/>
          <w:shd w:val="clear" w:color="auto" w:fill="FFFFFF"/>
        </w:rPr>
        <w:t>Rodnan</w:t>
      </w:r>
      <w:proofErr w:type="spellEnd"/>
      <w:r>
        <w:rPr>
          <w:sz w:val="24"/>
          <w:szCs w:val="24"/>
          <w:shd w:val="clear" w:color="auto" w:fill="FFFFFF"/>
        </w:rPr>
        <w:t xml:space="preserve"> </w:t>
      </w:r>
      <w:r w:rsidR="000961AB">
        <w:rPr>
          <w:sz w:val="24"/>
          <w:szCs w:val="24"/>
          <w:shd w:val="clear" w:color="auto" w:fill="FFFFFF"/>
        </w:rPr>
        <w:t>(</w:t>
      </w:r>
      <w:proofErr w:type="spellStart"/>
      <w:r>
        <w:rPr>
          <w:sz w:val="24"/>
          <w:szCs w:val="24"/>
          <w:shd w:val="clear" w:color="auto" w:fill="FFFFFF"/>
        </w:rPr>
        <w:t>mRSS</w:t>
      </w:r>
      <w:proofErr w:type="spellEnd"/>
      <w:r w:rsidR="000961AB">
        <w:rPr>
          <w:sz w:val="24"/>
          <w:szCs w:val="24"/>
          <w:shd w:val="clear" w:color="auto" w:fill="FFFFFF"/>
        </w:rPr>
        <w:t>)</w:t>
      </w:r>
      <w:r>
        <w:rPr>
          <w:sz w:val="24"/>
          <w:szCs w:val="24"/>
          <w:shd w:val="clear" w:color="auto" w:fill="FFFFFF"/>
        </w:rPr>
        <w:t xml:space="preserve"> et la </w:t>
      </w:r>
      <w:r w:rsidR="009D1C4F">
        <w:rPr>
          <w:sz w:val="24"/>
          <w:szCs w:val="24"/>
          <w:shd w:val="clear" w:color="auto" w:fill="FFFFFF"/>
        </w:rPr>
        <w:t>différence</w:t>
      </w:r>
      <w:r>
        <w:rPr>
          <w:sz w:val="24"/>
          <w:szCs w:val="24"/>
          <w:shd w:val="clear" w:color="auto" w:fill="FFFFFF"/>
        </w:rPr>
        <w:t xml:space="preserve"> de </w:t>
      </w:r>
      <w:r w:rsidR="000961AB">
        <w:rPr>
          <w:sz w:val="24"/>
          <w:szCs w:val="24"/>
          <w:shd w:val="clear" w:color="auto" w:fill="FFFFFF"/>
        </w:rPr>
        <w:t>capacité vitale forcée (</w:t>
      </w:r>
      <w:r>
        <w:rPr>
          <w:sz w:val="24"/>
          <w:szCs w:val="24"/>
          <w:shd w:val="clear" w:color="auto" w:fill="FFFFFF"/>
        </w:rPr>
        <w:t>CVF</w:t>
      </w:r>
      <w:r w:rsidR="000961AB">
        <w:rPr>
          <w:sz w:val="24"/>
          <w:szCs w:val="24"/>
          <w:shd w:val="clear" w:color="auto" w:fill="FFFFFF"/>
        </w:rPr>
        <w:t xml:space="preserve">). </w:t>
      </w:r>
      <w:r w:rsidR="009D1C4F">
        <w:rPr>
          <w:sz w:val="24"/>
          <w:szCs w:val="24"/>
          <w:shd w:val="clear" w:color="auto" w:fill="FFFFFF"/>
        </w:rPr>
        <w:t>Les critères de jugement secondaire</w:t>
      </w:r>
      <w:r w:rsidR="000961AB">
        <w:rPr>
          <w:sz w:val="24"/>
          <w:szCs w:val="24"/>
          <w:shd w:val="clear" w:color="auto" w:fill="FFFFFF"/>
        </w:rPr>
        <w:t>s</w:t>
      </w:r>
      <w:r w:rsidR="009D1C4F">
        <w:rPr>
          <w:sz w:val="24"/>
          <w:szCs w:val="24"/>
          <w:shd w:val="clear" w:color="auto" w:fill="FFFFFF"/>
        </w:rPr>
        <w:t xml:space="preserve"> seront la tolérance des traitements, la survie et la survie sans complication à 1 an</w:t>
      </w:r>
      <w:r w:rsidR="000961AB">
        <w:rPr>
          <w:sz w:val="24"/>
          <w:szCs w:val="24"/>
          <w:shd w:val="clear" w:color="auto" w:fill="FFFFFF"/>
        </w:rPr>
        <w:t xml:space="preserve"> et les modalités d’utilisation </w:t>
      </w:r>
      <w:r w:rsidR="00BC19FD">
        <w:rPr>
          <w:sz w:val="24"/>
          <w:szCs w:val="24"/>
          <w:shd w:val="clear" w:color="auto" w:fill="FFFFFF"/>
        </w:rPr>
        <w:t>de l’association RTX/MMF.</w:t>
      </w:r>
    </w:p>
    <w:p w14:paraId="642D1A85" w14:textId="4146479A" w:rsidR="00C748C5" w:rsidRDefault="00DB1DEF" w:rsidP="00370130">
      <w:pPr>
        <w:tabs>
          <w:tab w:val="left" w:pos="560"/>
        </w:tabs>
        <w:ind w:right="214"/>
        <w:jc w:val="both"/>
        <w:rPr>
          <w:bCs/>
          <w:sz w:val="24"/>
        </w:rPr>
      </w:pPr>
      <w:r w:rsidRPr="005641B1">
        <w:rPr>
          <w:b/>
          <w:sz w:val="24"/>
        </w:rPr>
        <w:t>Résultats attendus</w:t>
      </w:r>
      <w:r w:rsidR="00BC19FD">
        <w:rPr>
          <w:bCs/>
          <w:sz w:val="24"/>
        </w:rPr>
        <w:t> :</w:t>
      </w:r>
      <w:r>
        <w:rPr>
          <w:bCs/>
          <w:sz w:val="24"/>
        </w:rPr>
        <w:t xml:space="preserve"> </w:t>
      </w:r>
      <w:r w:rsidR="00BC19FD">
        <w:rPr>
          <w:bCs/>
          <w:sz w:val="24"/>
        </w:rPr>
        <w:t>d</w:t>
      </w:r>
      <w:r>
        <w:rPr>
          <w:bCs/>
          <w:sz w:val="24"/>
        </w:rPr>
        <w:t xml:space="preserve">e cette étude, nous </w:t>
      </w:r>
      <w:r w:rsidR="009D1C4F">
        <w:rPr>
          <w:bCs/>
          <w:sz w:val="24"/>
        </w:rPr>
        <w:t>espérons</w:t>
      </w:r>
      <w:r>
        <w:rPr>
          <w:bCs/>
          <w:sz w:val="24"/>
        </w:rPr>
        <w:t xml:space="preserve"> montrer une bonne tolérance et une efficacité de l’association </w:t>
      </w:r>
      <w:r w:rsidR="009D1C4F">
        <w:rPr>
          <w:bCs/>
          <w:sz w:val="24"/>
        </w:rPr>
        <w:t xml:space="preserve">RTX/MMF </w:t>
      </w:r>
      <w:r>
        <w:rPr>
          <w:bCs/>
          <w:sz w:val="24"/>
        </w:rPr>
        <w:t xml:space="preserve">dans la </w:t>
      </w:r>
      <w:proofErr w:type="spellStart"/>
      <w:r>
        <w:rPr>
          <w:bCs/>
          <w:sz w:val="24"/>
        </w:rPr>
        <w:t>ScS</w:t>
      </w:r>
      <w:proofErr w:type="spellEnd"/>
      <w:r>
        <w:rPr>
          <w:bCs/>
          <w:sz w:val="24"/>
        </w:rPr>
        <w:t>.</w:t>
      </w:r>
    </w:p>
    <w:p w14:paraId="2119F2E5" w14:textId="7B8803DE" w:rsidR="00370130" w:rsidRDefault="00370130" w:rsidP="00370130">
      <w:pPr>
        <w:tabs>
          <w:tab w:val="left" w:pos="560"/>
        </w:tabs>
        <w:ind w:right="214"/>
        <w:jc w:val="both"/>
        <w:rPr>
          <w:bCs/>
          <w:sz w:val="24"/>
        </w:rPr>
      </w:pPr>
    </w:p>
    <w:p w14:paraId="2C096332" w14:textId="77777777" w:rsidR="00370130" w:rsidRPr="00C748C5" w:rsidRDefault="00370130" w:rsidP="00370130">
      <w:pPr>
        <w:tabs>
          <w:tab w:val="left" w:pos="560"/>
        </w:tabs>
        <w:ind w:right="214"/>
        <w:jc w:val="both"/>
        <w:rPr>
          <w:bCs/>
          <w:sz w:val="24"/>
        </w:rPr>
      </w:pPr>
    </w:p>
    <w:p w14:paraId="73367E94" w14:textId="77777777" w:rsidR="008C4968" w:rsidRDefault="008C4968">
      <w:pPr>
        <w:rPr>
          <w:b/>
          <w:sz w:val="24"/>
        </w:rPr>
      </w:pPr>
      <w:r>
        <w:rPr>
          <w:b/>
          <w:sz w:val="24"/>
        </w:rPr>
        <w:br w:type="page"/>
      </w:r>
    </w:p>
    <w:p w14:paraId="2E634F2F" w14:textId="4432C3D1" w:rsidR="00BF7A96" w:rsidRPr="003E2093" w:rsidRDefault="00000000" w:rsidP="003E2093">
      <w:pPr>
        <w:pStyle w:val="Paragraphedeliste"/>
        <w:numPr>
          <w:ilvl w:val="0"/>
          <w:numId w:val="1"/>
        </w:numPr>
        <w:tabs>
          <w:tab w:val="left" w:pos="527"/>
        </w:tabs>
        <w:ind w:left="216" w:right="211" w:firstLine="0"/>
        <w:rPr>
          <w:rFonts w:ascii="Arial MT"/>
          <w:b/>
        </w:rPr>
      </w:pPr>
      <w:r w:rsidRPr="00CF74EF">
        <w:rPr>
          <w:b/>
          <w:sz w:val="24"/>
        </w:rPr>
        <w:lastRenderedPageBreak/>
        <w:t>CV</w:t>
      </w:r>
      <w:r w:rsidRPr="003B507C">
        <w:rPr>
          <w:bCs/>
          <w:sz w:val="24"/>
        </w:rPr>
        <w:t xml:space="preserve"> </w:t>
      </w:r>
      <w:r w:rsidRPr="003E2093">
        <w:rPr>
          <w:b/>
          <w:sz w:val="24"/>
        </w:rPr>
        <w:t>du porteur de projet</w:t>
      </w:r>
    </w:p>
    <w:p w14:paraId="6A8EF846" w14:textId="1714DD8F" w:rsidR="003E2093" w:rsidRDefault="003E2093" w:rsidP="003E2093">
      <w:pPr>
        <w:pStyle w:val="Paragraphedeliste"/>
        <w:tabs>
          <w:tab w:val="left" w:pos="527"/>
        </w:tabs>
        <w:ind w:left="216" w:right="211" w:firstLine="0"/>
        <w:rPr>
          <w:rFonts w:ascii="Arial MT"/>
          <w:b/>
        </w:rPr>
      </w:pPr>
      <w:r>
        <w:rPr>
          <w:b/>
          <w:noProof/>
          <w:sz w:val="24"/>
        </w:rPr>
        <w:drawing>
          <wp:inline distT="0" distB="0" distL="0" distR="0" wp14:anchorId="168477C4" wp14:editId="7E375E8A">
            <wp:extent cx="5581611" cy="7898860"/>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6">
                      <a:extLst>
                        <a:ext uri="{28A0092B-C50C-407E-A947-70E740481C1C}">
                          <a14:useLocalDpi xmlns:a14="http://schemas.microsoft.com/office/drawing/2010/main" val="0"/>
                        </a:ext>
                      </a:extLst>
                    </a:blip>
                    <a:stretch>
                      <a:fillRect/>
                    </a:stretch>
                  </pic:blipFill>
                  <pic:spPr>
                    <a:xfrm>
                      <a:off x="0" y="0"/>
                      <a:ext cx="5609881" cy="7938867"/>
                    </a:xfrm>
                    <a:prstGeom prst="rect">
                      <a:avLst/>
                    </a:prstGeom>
                  </pic:spPr>
                </pic:pic>
              </a:graphicData>
            </a:graphic>
          </wp:inline>
        </w:drawing>
      </w:r>
    </w:p>
    <w:p w14:paraId="61CCAA65" w14:textId="0CEB9153" w:rsidR="008C4968" w:rsidRDefault="008C4968">
      <w:pPr>
        <w:rPr>
          <w:b/>
          <w:sz w:val="24"/>
        </w:rPr>
      </w:pPr>
      <w:r>
        <w:rPr>
          <w:b/>
          <w:sz w:val="24"/>
        </w:rPr>
        <w:br w:type="page"/>
      </w:r>
    </w:p>
    <w:p w14:paraId="32E18CC0" w14:textId="0CA2EF8D" w:rsidR="00BF7A96" w:rsidRPr="00CF74EF" w:rsidRDefault="00000000" w:rsidP="00370130">
      <w:pPr>
        <w:pStyle w:val="Paragraphedeliste"/>
        <w:numPr>
          <w:ilvl w:val="0"/>
          <w:numId w:val="1"/>
        </w:numPr>
        <w:tabs>
          <w:tab w:val="left" w:pos="486"/>
        </w:tabs>
        <w:ind w:hanging="270"/>
        <w:rPr>
          <w:b/>
          <w:sz w:val="24"/>
        </w:rPr>
      </w:pPr>
      <w:proofErr w:type="spellStart"/>
      <w:r w:rsidRPr="00CF74EF">
        <w:rPr>
          <w:b/>
          <w:sz w:val="24"/>
        </w:rPr>
        <w:lastRenderedPageBreak/>
        <w:t>Etude</w:t>
      </w:r>
      <w:proofErr w:type="spellEnd"/>
    </w:p>
    <w:p w14:paraId="11E170F4" w14:textId="77777777" w:rsidR="00BF7A96" w:rsidRDefault="00BF7A96" w:rsidP="00370130">
      <w:pPr>
        <w:pStyle w:val="Corpsdetexte"/>
        <w:jc w:val="both"/>
      </w:pPr>
    </w:p>
    <w:p w14:paraId="576A630F" w14:textId="1DEA2839" w:rsidR="004B1D6E" w:rsidRPr="005641B1" w:rsidRDefault="00000000" w:rsidP="005641B1">
      <w:pPr>
        <w:pStyle w:val="Paragraphedeliste"/>
        <w:numPr>
          <w:ilvl w:val="1"/>
          <w:numId w:val="1"/>
        </w:numPr>
        <w:tabs>
          <w:tab w:val="left" w:pos="1297"/>
        </w:tabs>
        <w:spacing w:before="1"/>
        <w:ind w:hanging="721"/>
        <w:rPr>
          <w:b/>
          <w:sz w:val="28"/>
          <w:szCs w:val="24"/>
        </w:rPr>
      </w:pPr>
      <w:r>
        <w:rPr>
          <w:b/>
          <w:sz w:val="24"/>
        </w:rPr>
        <w:t>Objectif</w:t>
      </w:r>
      <w:r>
        <w:rPr>
          <w:b/>
          <w:spacing w:val="-2"/>
          <w:sz w:val="24"/>
        </w:rPr>
        <w:t xml:space="preserve"> </w:t>
      </w:r>
      <w:r>
        <w:rPr>
          <w:b/>
          <w:sz w:val="24"/>
        </w:rPr>
        <w:t>principal</w:t>
      </w:r>
      <w:r>
        <w:rPr>
          <w:b/>
          <w:spacing w:val="-3"/>
          <w:sz w:val="24"/>
        </w:rPr>
        <w:t xml:space="preserve"> </w:t>
      </w:r>
      <w:r>
        <w:rPr>
          <w:b/>
          <w:sz w:val="24"/>
        </w:rPr>
        <w:t>et</w:t>
      </w:r>
      <w:r>
        <w:rPr>
          <w:b/>
          <w:spacing w:val="-1"/>
          <w:sz w:val="24"/>
        </w:rPr>
        <w:t xml:space="preserve"> </w:t>
      </w:r>
      <w:r>
        <w:rPr>
          <w:b/>
          <w:sz w:val="24"/>
        </w:rPr>
        <w:t>objectifs</w:t>
      </w:r>
      <w:r>
        <w:rPr>
          <w:b/>
          <w:spacing w:val="-2"/>
          <w:sz w:val="24"/>
        </w:rPr>
        <w:t xml:space="preserve"> </w:t>
      </w:r>
      <w:r>
        <w:rPr>
          <w:b/>
          <w:sz w:val="24"/>
        </w:rPr>
        <w:t>secondaires</w:t>
      </w:r>
      <w:r>
        <w:rPr>
          <w:b/>
          <w:spacing w:val="-5"/>
          <w:sz w:val="24"/>
        </w:rPr>
        <w:t xml:space="preserve"> </w:t>
      </w:r>
      <w:r>
        <w:rPr>
          <w:b/>
          <w:sz w:val="24"/>
        </w:rPr>
        <w:t>de l’étude</w:t>
      </w:r>
    </w:p>
    <w:p w14:paraId="2E42F8F9" w14:textId="1E6E35B4" w:rsidR="00182104" w:rsidRPr="00AD51E9" w:rsidRDefault="00182104" w:rsidP="00370130">
      <w:pPr>
        <w:tabs>
          <w:tab w:val="left" w:pos="1297"/>
        </w:tabs>
        <w:spacing w:before="1"/>
        <w:jc w:val="both"/>
        <w:rPr>
          <w:sz w:val="24"/>
          <w:szCs w:val="24"/>
          <w:shd w:val="clear" w:color="auto" w:fill="FFFFFF"/>
        </w:rPr>
      </w:pPr>
      <w:r w:rsidRPr="00AD51E9">
        <w:rPr>
          <w:sz w:val="24"/>
          <w:szCs w:val="24"/>
          <w:shd w:val="clear" w:color="auto" w:fill="FFFFFF"/>
        </w:rPr>
        <w:t xml:space="preserve">L’objectif </w:t>
      </w:r>
      <w:r w:rsidR="005F4A5C">
        <w:rPr>
          <w:sz w:val="24"/>
          <w:szCs w:val="24"/>
          <w:shd w:val="clear" w:color="auto" w:fill="FFFFFF"/>
        </w:rPr>
        <w:t xml:space="preserve">principal </w:t>
      </w:r>
      <w:r w:rsidRPr="00AD51E9">
        <w:rPr>
          <w:sz w:val="24"/>
          <w:szCs w:val="24"/>
          <w:shd w:val="clear" w:color="auto" w:fill="FFFFFF"/>
        </w:rPr>
        <w:t>de</w:t>
      </w:r>
      <w:r w:rsidR="00991641" w:rsidRPr="00AD51E9">
        <w:rPr>
          <w:sz w:val="24"/>
          <w:szCs w:val="24"/>
          <w:shd w:val="clear" w:color="auto" w:fill="FFFFFF"/>
        </w:rPr>
        <w:t xml:space="preserve"> cette étude est de comparer</w:t>
      </w:r>
      <w:r w:rsidR="005F4A5C">
        <w:rPr>
          <w:sz w:val="24"/>
          <w:szCs w:val="24"/>
          <w:shd w:val="clear" w:color="auto" w:fill="FFFFFF"/>
        </w:rPr>
        <w:t xml:space="preserve"> l’effet d’une association</w:t>
      </w:r>
      <w:r w:rsidR="00991641" w:rsidRPr="00AD51E9">
        <w:rPr>
          <w:sz w:val="24"/>
          <w:szCs w:val="24"/>
          <w:shd w:val="clear" w:color="auto" w:fill="FFFFFF"/>
        </w:rPr>
        <w:t xml:space="preserve"> </w:t>
      </w:r>
      <w:r w:rsidR="005F4A5C">
        <w:rPr>
          <w:sz w:val="24"/>
          <w:szCs w:val="24"/>
          <w:shd w:val="clear" w:color="auto" w:fill="FFFFFF"/>
        </w:rPr>
        <w:t xml:space="preserve">RTX/MMF sur la fibrose cutanée et pulmonaire à 1 an comparativement </w:t>
      </w:r>
      <w:r w:rsidR="00657269" w:rsidRPr="00AD51E9">
        <w:rPr>
          <w:sz w:val="24"/>
          <w:szCs w:val="24"/>
          <w:shd w:val="clear" w:color="auto" w:fill="FFFFFF"/>
        </w:rPr>
        <w:t>à</w:t>
      </w:r>
      <w:r w:rsidR="00991641" w:rsidRPr="00AD51E9">
        <w:rPr>
          <w:sz w:val="24"/>
          <w:szCs w:val="24"/>
          <w:shd w:val="clear" w:color="auto" w:fill="FFFFFF"/>
        </w:rPr>
        <w:t xml:space="preserve"> </w:t>
      </w:r>
      <w:r w:rsidRPr="00AD51E9">
        <w:rPr>
          <w:sz w:val="24"/>
          <w:szCs w:val="24"/>
          <w:shd w:val="clear" w:color="auto" w:fill="FFFFFF"/>
        </w:rPr>
        <w:t xml:space="preserve">un traitement en </w:t>
      </w:r>
      <w:r w:rsidR="00991641" w:rsidRPr="00AD51E9">
        <w:rPr>
          <w:sz w:val="24"/>
          <w:szCs w:val="24"/>
          <w:shd w:val="clear" w:color="auto" w:fill="FFFFFF"/>
        </w:rPr>
        <w:t xml:space="preserve">monothérapie par </w:t>
      </w:r>
      <w:r w:rsidR="009D1C4F">
        <w:rPr>
          <w:sz w:val="24"/>
          <w:szCs w:val="24"/>
          <w:shd w:val="clear" w:color="auto" w:fill="FFFFFF"/>
        </w:rPr>
        <w:t>RTX</w:t>
      </w:r>
      <w:r w:rsidR="009D1C4F" w:rsidRPr="00AD51E9">
        <w:rPr>
          <w:sz w:val="24"/>
          <w:szCs w:val="24"/>
          <w:shd w:val="clear" w:color="auto" w:fill="FFFFFF"/>
        </w:rPr>
        <w:t xml:space="preserve"> </w:t>
      </w:r>
      <w:r w:rsidR="00991641" w:rsidRPr="00AD51E9">
        <w:rPr>
          <w:sz w:val="24"/>
          <w:szCs w:val="24"/>
          <w:shd w:val="clear" w:color="auto" w:fill="FFFFFF"/>
        </w:rPr>
        <w:t xml:space="preserve">ou par </w:t>
      </w:r>
      <w:r w:rsidR="009D1C4F">
        <w:rPr>
          <w:sz w:val="24"/>
          <w:szCs w:val="24"/>
          <w:shd w:val="clear" w:color="auto" w:fill="FFFFFF"/>
        </w:rPr>
        <w:t>MMF</w:t>
      </w:r>
      <w:r w:rsidR="005F4A5C">
        <w:rPr>
          <w:sz w:val="24"/>
          <w:szCs w:val="24"/>
          <w:shd w:val="clear" w:color="auto" w:fill="FFFFFF"/>
        </w:rPr>
        <w:t xml:space="preserve"> à 1 an</w:t>
      </w:r>
      <w:r w:rsidR="00B82720">
        <w:rPr>
          <w:sz w:val="24"/>
          <w:szCs w:val="24"/>
          <w:shd w:val="clear" w:color="auto" w:fill="FFFFFF"/>
        </w:rPr>
        <w:t xml:space="preserve"> chez des patients de sclérodermie systémique (</w:t>
      </w:r>
      <w:proofErr w:type="spellStart"/>
      <w:r w:rsidR="00B82720">
        <w:rPr>
          <w:sz w:val="24"/>
          <w:szCs w:val="24"/>
          <w:shd w:val="clear" w:color="auto" w:fill="FFFFFF"/>
        </w:rPr>
        <w:t>ScS</w:t>
      </w:r>
      <w:proofErr w:type="spellEnd"/>
      <w:r w:rsidR="00B82720">
        <w:rPr>
          <w:sz w:val="24"/>
          <w:szCs w:val="24"/>
          <w:shd w:val="clear" w:color="auto" w:fill="FFFFFF"/>
        </w:rPr>
        <w:t>)</w:t>
      </w:r>
    </w:p>
    <w:p w14:paraId="35B98324" w14:textId="2C4D20EF" w:rsidR="00182104" w:rsidRPr="00AD51E9" w:rsidRDefault="00182104" w:rsidP="00370130">
      <w:pPr>
        <w:tabs>
          <w:tab w:val="left" w:pos="1297"/>
        </w:tabs>
        <w:spacing w:before="1"/>
        <w:jc w:val="both"/>
        <w:rPr>
          <w:sz w:val="24"/>
          <w:szCs w:val="24"/>
          <w:shd w:val="clear" w:color="auto" w:fill="FFFFFF"/>
        </w:rPr>
      </w:pPr>
      <w:r w:rsidRPr="00AD51E9">
        <w:rPr>
          <w:sz w:val="24"/>
          <w:szCs w:val="24"/>
          <w:shd w:val="clear" w:color="auto" w:fill="FFFFFF"/>
        </w:rPr>
        <w:t>Le</w:t>
      </w:r>
      <w:r w:rsidR="00222A40" w:rsidRPr="00AD51E9">
        <w:rPr>
          <w:sz w:val="24"/>
          <w:szCs w:val="24"/>
          <w:shd w:val="clear" w:color="auto" w:fill="FFFFFF"/>
        </w:rPr>
        <w:t>s</w:t>
      </w:r>
      <w:r w:rsidRPr="00AD51E9">
        <w:rPr>
          <w:sz w:val="24"/>
          <w:szCs w:val="24"/>
          <w:shd w:val="clear" w:color="auto" w:fill="FFFFFF"/>
        </w:rPr>
        <w:t xml:space="preserve"> critères de jugements principaux </w:t>
      </w:r>
      <w:r w:rsidR="009D1C4F">
        <w:rPr>
          <w:sz w:val="24"/>
          <w:szCs w:val="24"/>
          <w:shd w:val="clear" w:color="auto" w:fill="FFFFFF"/>
        </w:rPr>
        <w:t>sont</w:t>
      </w:r>
      <w:r w:rsidR="009D1C4F" w:rsidRPr="00AD51E9">
        <w:rPr>
          <w:sz w:val="24"/>
          <w:szCs w:val="24"/>
          <w:shd w:val="clear" w:color="auto" w:fill="FFFFFF"/>
        </w:rPr>
        <w:t xml:space="preserve"> </w:t>
      </w:r>
      <w:r w:rsidRPr="00AD51E9">
        <w:rPr>
          <w:sz w:val="24"/>
          <w:szCs w:val="24"/>
          <w:shd w:val="clear" w:color="auto" w:fill="FFFFFF"/>
        </w:rPr>
        <w:t>l’évolution du score</w:t>
      </w:r>
      <w:r w:rsidR="009D1C4F">
        <w:rPr>
          <w:sz w:val="24"/>
          <w:szCs w:val="24"/>
          <w:shd w:val="clear" w:color="auto" w:fill="FFFFFF"/>
        </w:rPr>
        <w:t xml:space="preserve"> cutané</w:t>
      </w:r>
      <w:r w:rsidRPr="00AD51E9">
        <w:rPr>
          <w:sz w:val="24"/>
          <w:szCs w:val="24"/>
          <w:shd w:val="clear" w:color="auto" w:fill="FFFFFF"/>
        </w:rPr>
        <w:t xml:space="preserve"> de </w:t>
      </w:r>
      <w:proofErr w:type="spellStart"/>
      <w:r w:rsidRPr="00AD51E9">
        <w:rPr>
          <w:sz w:val="24"/>
          <w:szCs w:val="24"/>
          <w:shd w:val="clear" w:color="auto" w:fill="FFFFFF"/>
        </w:rPr>
        <w:t>Rodnan</w:t>
      </w:r>
      <w:proofErr w:type="spellEnd"/>
      <w:r w:rsidRPr="00AD51E9">
        <w:rPr>
          <w:sz w:val="24"/>
          <w:szCs w:val="24"/>
          <w:shd w:val="clear" w:color="auto" w:fill="FFFFFF"/>
        </w:rPr>
        <w:t xml:space="preserve"> modifié </w:t>
      </w:r>
      <w:r w:rsidR="009D1C4F">
        <w:rPr>
          <w:sz w:val="24"/>
          <w:szCs w:val="24"/>
          <w:shd w:val="clear" w:color="auto" w:fill="FFFFFF"/>
        </w:rPr>
        <w:t>(</w:t>
      </w:r>
      <w:proofErr w:type="spellStart"/>
      <w:r w:rsidR="009D1C4F">
        <w:rPr>
          <w:sz w:val="24"/>
          <w:szCs w:val="24"/>
          <w:shd w:val="clear" w:color="auto" w:fill="FFFFFF"/>
        </w:rPr>
        <w:t>mRSS</w:t>
      </w:r>
      <w:proofErr w:type="spellEnd"/>
      <w:r w:rsidR="009D1C4F">
        <w:rPr>
          <w:sz w:val="24"/>
          <w:szCs w:val="24"/>
          <w:shd w:val="clear" w:color="auto" w:fill="FFFFFF"/>
        </w:rPr>
        <w:t xml:space="preserve">) </w:t>
      </w:r>
      <w:r w:rsidRPr="00AD51E9">
        <w:rPr>
          <w:sz w:val="24"/>
          <w:szCs w:val="24"/>
          <w:shd w:val="clear" w:color="auto" w:fill="FFFFFF"/>
        </w:rPr>
        <w:t>à 1 an et l’évolution de la capacité vitale forcée</w:t>
      </w:r>
      <w:r w:rsidR="00B82720">
        <w:rPr>
          <w:sz w:val="24"/>
          <w:szCs w:val="24"/>
          <w:shd w:val="clear" w:color="auto" w:fill="FFFFFF"/>
        </w:rPr>
        <w:t xml:space="preserve"> (CVF)</w:t>
      </w:r>
      <w:r w:rsidRPr="00AD51E9">
        <w:rPr>
          <w:sz w:val="24"/>
          <w:szCs w:val="24"/>
          <w:shd w:val="clear" w:color="auto" w:fill="FFFFFF"/>
        </w:rPr>
        <w:t xml:space="preserve"> </w:t>
      </w:r>
      <w:r w:rsidR="00222A40" w:rsidRPr="00AD51E9">
        <w:rPr>
          <w:sz w:val="24"/>
          <w:szCs w:val="24"/>
          <w:shd w:val="clear" w:color="auto" w:fill="FFFFFF"/>
        </w:rPr>
        <w:t>à 1 an</w:t>
      </w:r>
      <w:r w:rsidR="009D1C4F">
        <w:rPr>
          <w:sz w:val="24"/>
          <w:szCs w:val="24"/>
          <w:shd w:val="clear" w:color="auto" w:fill="FFFFFF"/>
        </w:rPr>
        <w:t>.</w:t>
      </w:r>
    </w:p>
    <w:p w14:paraId="0DAEDD2D" w14:textId="22C0F6C6" w:rsidR="00222A40" w:rsidRPr="00AD51E9" w:rsidRDefault="00222A40" w:rsidP="00370130">
      <w:pPr>
        <w:tabs>
          <w:tab w:val="left" w:pos="1297"/>
        </w:tabs>
        <w:spacing w:before="1"/>
        <w:jc w:val="both"/>
        <w:rPr>
          <w:sz w:val="24"/>
          <w:szCs w:val="24"/>
          <w:shd w:val="clear" w:color="auto" w:fill="FFFFFF"/>
        </w:rPr>
      </w:pPr>
      <w:r w:rsidRPr="00AD51E9">
        <w:rPr>
          <w:sz w:val="24"/>
          <w:szCs w:val="24"/>
          <w:shd w:val="clear" w:color="auto" w:fill="FFFFFF"/>
        </w:rPr>
        <w:t xml:space="preserve">Les objectifs secondaires </w:t>
      </w:r>
      <w:r w:rsidR="009D1C4F">
        <w:rPr>
          <w:sz w:val="24"/>
          <w:szCs w:val="24"/>
          <w:shd w:val="clear" w:color="auto" w:fill="FFFFFF"/>
        </w:rPr>
        <w:t>sont</w:t>
      </w:r>
      <w:r w:rsidR="009D1C4F" w:rsidRPr="00AD51E9">
        <w:rPr>
          <w:sz w:val="24"/>
          <w:szCs w:val="24"/>
          <w:shd w:val="clear" w:color="auto" w:fill="FFFFFF"/>
        </w:rPr>
        <w:t xml:space="preserve"> </w:t>
      </w:r>
      <w:r w:rsidR="003B507C" w:rsidRPr="00AD51E9">
        <w:rPr>
          <w:sz w:val="24"/>
          <w:szCs w:val="24"/>
          <w:shd w:val="clear" w:color="auto" w:fill="FFFFFF"/>
        </w:rPr>
        <w:t>l</w:t>
      </w:r>
      <w:r w:rsidR="00706286">
        <w:rPr>
          <w:sz w:val="24"/>
          <w:szCs w:val="24"/>
          <w:shd w:val="clear" w:color="auto" w:fill="FFFFFF"/>
        </w:rPr>
        <w:t>’évaluation de la tolérance de l’association RTX/MMF, l’évaluation de la survie à 1 an, l’évaluation de la survie sans complication à 1 ans</w:t>
      </w:r>
      <w:r w:rsidR="005F4A5C">
        <w:rPr>
          <w:sz w:val="24"/>
          <w:szCs w:val="24"/>
          <w:shd w:val="clear" w:color="auto" w:fill="FFFFFF"/>
        </w:rPr>
        <w:t xml:space="preserve"> et la description des modalités d’utilisation de l’association RTX/MMF dans la </w:t>
      </w:r>
      <w:proofErr w:type="spellStart"/>
      <w:r w:rsidR="005F4A5C">
        <w:rPr>
          <w:sz w:val="24"/>
          <w:szCs w:val="24"/>
          <w:shd w:val="clear" w:color="auto" w:fill="FFFFFF"/>
        </w:rPr>
        <w:t>S</w:t>
      </w:r>
      <w:r w:rsidR="00CF74EF">
        <w:rPr>
          <w:sz w:val="24"/>
          <w:szCs w:val="24"/>
          <w:shd w:val="clear" w:color="auto" w:fill="FFFFFF"/>
        </w:rPr>
        <w:t>c</w:t>
      </w:r>
      <w:r w:rsidR="005F4A5C">
        <w:rPr>
          <w:sz w:val="24"/>
          <w:szCs w:val="24"/>
          <w:shd w:val="clear" w:color="auto" w:fill="FFFFFF"/>
        </w:rPr>
        <w:t>S</w:t>
      </w:r>
      <w:proofErr w:type="spellEnd"/>
      <w:r w:rsidR="005F4A5C">
        <w:rPr>
          <w:sz w:val="24"/>
          <w:szCs w:val="24"/>
          <w:shd w:val="clear" w:color="auto" w:fill="FFFFFF"/>
        </w:rPr>
        <w:t>.</w:t>
      </w:r>
      <w:r w:rsidR="003B507C" w:rsidRPr="00AD51E9">
        <w:rPr>
          <w:sz w:val="24"/>
          <w:szCs w:val="24"/>
          <w:shd w:val="clear" w:color="auto" w:fill="FFFFFF"/>
        </w:rPr>
        <w:t xml:space="preserve"> </w:t>
      </w:r>
    </w:p>
    <w:p w14:paraId="6818E5ED" w14:textId="77777777" w:rsidR="00991641" w:rsidRPr="004B1D6E" w:rsidRDefault="00991641" w:rsidP="00370130">
      <w:pPr>
        <w:tabs>
          <w:tab w:val="left" w:pos="1297"/>
        </w:tabs>
        <w:spacing w:before="1"/>
        <w:jc w:val="both"/>
        <w:rPr>
          <w:b/>
          <w:sz w:val="24"/>
        </w:rPr>
      </w:pPr>
    </w:p>
    <w:p w14:paraId="55B754F5" w14:textId="276720C6" w:rsidR="00BF7A96" w:rsidRDefault="00000000" w:rsidP="00370130">
      <w:pPr>
        <w:pStyle w:val="Paragraphedeliste"/>
        <w:numPr>
          <w:ilvl w:val="1"/>
          <w:numId w:val="1"/>
        </w:numPr>
        <w:tabs>
          <w:tab w:val="left" w:pos="1297"/>
        </w:tabs>
        <w:ind w:hanging="721"/>
        <w:rPr>
          <w:b/>
          <w:sz w:val="24"/>
        </w:rPr>
      </w:pPr>
      <w:r>
        <w:rPr>
          <w:b/>
          <w:sz w:val="24"/>
        </w:rPr>
        <w:t>Justification</w:t>
      </w:r>
      <w:r>
        <w:rPr>
          <w:b/>
          <w:spacing w:val="-2"/>
          <w:sz w:val="24"/>
        </w:rPr>
        <w:t xml:space="preserve"> </w:t>
      </w:r>
      <w:r>
        <w:rPr>
          <w:b/>
          <w:sz w:val="24"/>
        </w:rPr>
        <w:t>du</w:t>
      </w:r>
      <w:r>
        <w:rPr>
          <w:b/>
          <w:spacing w:val="-2"/>
          <w:sz w:val="24"/>
        </w:rPr>
        <w:t xml:space="preserve"> </w:t>
      </w:r>
      <w:r>
        <w:rPr>
          <w:b/>
          <w:sz w:val="24"/>
        </w:rPr>
        <w:t>projet</w:t>
      </w:r>
    </w:p>
    <w:p w14:paraId="34E658C3" w14:textId="595DC738" w:rsidR="00A93C3B" w:rsidRDefault="004906CE" w:rsidP="005641B1">
      <w:pPr>
        <w:jc w:val="both"/>
        <w:rPr>
          <w:sz w:val="24"/>
          <w:szCs w:val="24"/>
        </w:rPr>
      </w:pPr>
      <w:r w:rsidRPr="00AD51E9">
        <w:rPr>
          <w:sz w:val="24"/>
          <w:szCs w:val="24"/>
        </w:rPr>
        <w:t xml:space="preserve">La </w:t>
      </w:r>
      <w:proofErr w:type="spellStart"/>
      <w:r w:rsidR="00B82720">
        <w:rPr>
          <w:sz w:val="24"/>
          <w:szCs w:val="24"/>
        </w:rPr>
        <w:t>ScS</w:t>
      </w:r>
      <w:proofErr w:type="spellEnd"/>
      <w:r w:rsidRPr="00AD51E9">
        <w:rPr>
          <w:sz w:val="24"/>
          <w:szCs w:val="24"/>
        </w:rPr>
        <w:t xml:space="preserve"> est une maladie rare de cause inconnue appartenant à la famille des connectivites.</w:t>
      </w:r>
      <w:r w:rsidR="003B507C" w:rsidRPr="00AD51E9">
        <w:rPr>
          <w:sz w:val="24"/>
          <w:szCs w:val="24"/>
        </w:rPr>
        <w:t xml:space="preserve"> </w:t>
      </w:r>
      <w:r w:rsidRPr="00AD51E9">
        <w:rPr>
          <w:sz w:val="24"/>
          <w:szCs w:val="24"/>
        </w:rPr>
        <w:t xml:space="preserve">Elle se caractérise par l’association d’une </w:t>
      </w:r>
      <w:proofErr w:type="spellStart"/>
      <w:r w:rsidRPr="00AD51E9">
        <w:rPr>
          <w:sz w:val="24"/>
          <w:szCs w:val="24"/>
        </w:rPr>
        <w:t>vasculopathie</w:t>
      </w:r>
      <w:proofErr w:type="spellEnd"/>
      <w:r w:rsidRPr="00AD51E9">
        <w:rPr>
          <w:sz w:val="24"/>
          <w:szCs w:val="24"/>
        </w:rPr>
        <w:t xml:space="preserve"> prédominant sur la microcirculation, d’une dysfonction de l’immunité entraînant la formation d’auto-anticorps et enfin de dépôts excessifs de matrice extracellulaire dans la peau et les organes aboutissant à une altération de leurs fonctions. </w:t>
      </w:r>
      <w:r w:rsidR="00C748C5">
        <w:rPr>
          <w:sz w:val="24"/>
          <w:szCs w:val="24"/>
        </w:rPr>
        <w:fldChar w:fldCharType="begin"/>
      </w:r>
      <w:r w:rsidR="00CF74EF">
        <w:rPr>
          <w:sz w:val="24"/>
          <w:szCs w:val="24"/>
        </w:rPr>
        <w:instrText xml:space="preserve"> ADDIN ZOTERO_ITEM CSL_CITATION {"citationID":"J8779Hxu","properties":{"formattedCitation":"(1,2)","plainCitation":"(1,2)","noteIndex":0},"citationItems":[{"id":"KWzghzVS/SAvi45tm","uris":["http://zotero.org/users/5508055/items/VM5DM75B"],"itemData":{"id":760,"type":"article-journal","abstract":"Systemic sclerosis is an orphan connective tissue disease characterized by alterations of the microvasculature, disturbances of the immune system and massive deposition of collagen and other matrix substances in the skin and internal organs. A major achievement of the recent years has been the validation of new classification criteria, allowing earlier diagnosis and earlier treatment of systemic sclerosis, before irreversible fibrosis and organ damage appeared (\"window of opportunity\"). Raynaud's phenomenon is usually the first sign of the disease and is considered as the main sentinel sign for the identification of very early systemic sclerosis. Systemic sclerosis is clinically heterogeneous and disease course remains unpredictable. Its prognosis depends on cardiopulmonary involvement and recent studies aim to identify serum or genetic biomarkers predictive of severe organ involvement. Moreover, the prospective follow-up of large cohorts has provided and will offer critical material to identify strong prognostic factors. Whereas the outcomes of vascular manifestations of the disease has been recently improved due to targeted therapy, recent data have highlighted that mortality has not changed over the past 40 years. This reflects the absence of efficacy of current available drugs to counteract the fibrotic process. Nevertheless, several targeted immunity therapies, commonly with proven efficacy in other immune diseases, are about to be investigated in systemic sclerosis. Indeed, promising results in small and open studies have been reported. This article deals with recent insights into classification criteria, pathogenesis, organ involvements, outcome and current and possible future therapeutic options in systemic sclerosis.","container-title":"Joint Bone Spine","DOI":"10.1016/j.jbspin.2014.10.010","ISSN":"1778-7254","issue":"3","journalAbbreviation":"Joint Bone Spine","language":"eng","note":"PMID: 25557659","page":"148-153","source":"PubMed","title":"Systemic sclerosis: Recent insights","title-short":"Systemic sclerosis","volume":"82","author":[{"family":"Elhai","given":"Muriel"},{"family":"Avouac","given":"Jérôme"},{"family":"Kahan","given":"André"},{"family":"Allanore","given":"Yannick"}],"issued":{"date-parts":[["2015",5]]}}},{"id":"KWzghzVS/0BkgJPaQ","uris":["http://zotero.org/users/5508055/items/T5T6C4KH"],"itemData":{"id":692,"type":"article-journal","abstract":"Systemic sclerosis, also called scleroderma, is an immune-mediated rheumatic disease that is characterised by fibrosis of the skin and internal organs and vasculopathy. Although systemic sclerosis is uncommon, it has a high morbidity and mortality. Improved understanding of systemic sclerosis has allowed better management of the disease, including improved classification and more systematic assessment and follow-up. Additionally, treatments for specific complications have emerged and a growing evidence base supports the use of immune suppression for the treatment of skin and lung fibrosis. Some manifestations of the disease, such as scleroderma renal crisis, pulmonary arterial hypertension, digital ulceration, and gastro-oesophageal reflux, are now treatable. However, the burden of non-lethal complications associated with systemic sclerosis is substantial and is likely to become more of a challenge. Here, we review the clinical features of systemic sclerosis and describe the best practice approaches for its management. Furthermore, we identify future areas for development.","container-title":"Lancet (London, England)","DOI":"10.1016/S0140-6736(17)30933-9","ISSN":"1474-547X","issue":"10103","journalAbbreviation":"Lancet","language":"eng","note":"PMID: 28413064","page":"1685-1699","source":"PubMed","title":"Systemic sclerosis","volume":"390","author":[{"family":"Denton","given":"Christopher P."},{"family":"Khanna","given":"Dinesh"}],"issued":{"date-parts":[["2017",10,7]]}}}],"schema":"https://github.com/citation-style-language/schema/raw/master/csl-citation.json"} </w:instrText>
      </w:r>
      <w:r w:rsidR="00C748C5">
        <w:rPr>
          <w:sz w:val="24"/>
          <w:szCs w:val="24"/>
        </w:rPr>
        <w:fldChar w:fldCharType="separate"/>
      </w:r>
      <w:r w:rsidR="00C748C5" w:rsidRPr="00C748C5">
        <w:rPr>
          <w:sz w:val="24"/>
        </w:rPr>
        <w:t>(1,2)</w:t>
      </w:r>
      <w:r w:rsidR="00C748C5">
        <w:rPr>
          <w:sz w:val="24"/>
          <w:szCs w:val="24"/>
        </w:rPr>
        <w:fldChar w:fldCharType="end"/>
      </w:r>
      <w:r w:rsidR="00706286">
        <w:rPr>
          <w:rFonts w:eastAsiaTheme="majorEastAsia"/>
          <w:sz w:val="24"/>
          <w:szCs w:val="24"/>
          <w:shd w:val="clear" w:color="auto" w:fill="FFFFFF"/>
        </w:rPr>
        <w:t xml:space="preserve"> </w:t>
      </w:r>
      <w:r w:rsidRPr="00AD51E9">
        <w:rPr>
          <w:rFonts w:eastAsiaTheme="majorEastAsia"/>
          <w:sz w:val="24"/>
          <w:szCs w:val="24"/>
          <w:shd w:val="clear" w:color="auto" w:fill="FFFFFF"/>
        </w:rPr>
        <w:t xml:space="preserve">La </w:t>
      </w:r>
      <w:proofErr w:type="spellStart"/>
      <w:r w:rsidRPr="00AD51E9">
        <w:rPr>
          <w:rFonts w:eastAsiaTheme="majorEastAsia"/>
          <w:sz w:val="24"/>
          <w:szCs w:val="24"/>
          <w:shd w:val="clear" w:color="auto" w:fill="FFFFFF"/>
        </w:rPr>
        <w:t>ScS</w:t>
      </w:r>
      <w:proofErr w:type="spellEnd"/>
      <w:r w:rsidRPr="00AD51E9">
        <w:rPr>
          <w:rFonts w:eastAsiaTheme="majorEastAsia"/>
          <w:sz w:val="24"/>
          <w:szCs w:val="24"/>
          <w:shd w:val="clear" w:color="auto" w:fill="FFFFFF"/>
        </w:rPr>
        <w:t xml:space="preserve"> peut atteindre l’ensemble des organes</w:t>
      </w:r>
      <w:r w:rsidR="003B507C" w:rsidRPr="00AD51E9">
        <w:rPr>
          <w:rFonts w:eastAsiaTheme="majorEastAsia"/>
          <w:sz w:val="24"/>
          <w:szCs w:val="24"/>
          <w:shd w:val="clear" w:color="auto" w:fill="FFFFFF"/>
        </w:rPr>
        <w:t xml:space="preserve"> et l</w:t>
      </w:r>
      <w:r w:rsidRPr="00AD51E9">
        <w:rPr>
          <w:rFonts w:eastAsiaTheme="majorEastAsia"/>
          <w:sz w:val="24"/>
          <w:szCs w:val="24"/>
          <w:shd w:val="clear" w:color="auto" w:fill="FFFFFF"/>
        </w:rPr>
        <w:t xml:space="preserve">es présentations cliniques </w:t>
      </w:r>
      <w:r w:rsidR="003B507C" w:rsidRPr="00AD51E9">
        <w:rPr>
          <w:rFonts w:eastAsiaTheme="majorEastAsia"/>
          <w:sz w:val="24"/>
          <w:szCs w:val="24"/>
          <w:shd w:val="clear" w:color="auto" w:fill="FFFFFF"/>
        </w:rPr>
        <w:t xml:space="preserve">sont </w:t>
      </w:r>
      <w:r w:rsidRPr="00AD51E9">
        <w:rPr>
          <w:rFonts w:eastAsiaTheme="majorEastAsia"/>
          <w:sz w:val="24"/>
          <w:szCs w:val="24"/>
          <w:shd w:val="clear" w:color="auto" w:fill="FFFFFF"/>
        </w:rPr>
        <w:t>hétérogènes et variées. Les manifestations les plus fréquentes sont le phénomène de Raynaud, les atteintes cutanées, digestives et articulaires.</w:t>
      </w:r>
      <w:r w:rsidR="00706286">
        <w:rPr>
          <w:rFonts w:eastAsiaTheme="majorEastAsia"/>
          <w:sz w:val="24"/>
          <w:szCs w:val="24"/>
          <w:shd w:val="clear" w:color="auto" w:fill="FFFFFF"/>
        </w:rPr>
        <w:t xml:space="preserve"> </w:t>
      </w:r>
      <w:r w:rsidR="003B507C" w:rsidRPr="00AD51E9">
        <w:rPr>
          <w:rFonts w:eastAsiaTheme="majorEastAsia"/>
          <w:sz w:val="24"/>
          <w:szCs w:val="24"/>
          <w:shd w:val="clear" w:color="auto" w:fill="FFFFFF"/>
        </w:rPr>
        <w:t xml:space="preserve">La </w:t>
      </w:r>
      <w:r w:rsidRPr="00AD51E9">
        <w:rPr>
          <w:rFonts w:eastAsiaTheme="majorEastAsia"/>
          <w:sz w:val="24"/>
          <w:szCs w:val="24"/>
          <w:shd w:val="clear" w:color="auto" w:fill="FFFFFF"/>
        </w:rPr>
        <w:t>fibrose cutanée ou sclérodermi</w:t>
      </w:r>
      <w:r w:rsidR="003B507C" w:rsidRPr="00AD51E9">
        <w:rPr>
          <w:rFonts w:eastAsiaTheme="majorEastAsia"/>
          <w:sz w:val="24"/>
          <w:szCs w:val="24"/>
          <w:shd w:val="clear" w:color="auto" w:fill="FFFFFF"/>
        </w:rPr>
        <w:t xml:space="preserve">e varient selon </w:t>
      </w:r>
      <w:r w:rsidRPr="00AD51E9">
        <w:rPr>
          <w:rFonts w:eastAsiaTheme="majorEastAsia"/>
          <w:sz w:val="24"/>
          <w:szCs w:val="24"/>
          <w:shd w:val="clear" w:color="auto" w:fill="FFFFFF"/>
        </w:rPr>
        <w:t xml:space="preserve">les patients, allant d’une sclérose asymptomatique à une limitation progressive de l’ouverture buccale en cas d’atteinte du visage. </w:t>
      </w:r>
      <w:r w:rsidR="003B507C" w:rsidRPr="00AD51E9">
        <w:rPr>
          <w:rFonts w:eastAsiaTheme="majorEastAsia"/>
          <w:sz w:val="24"/>
          <w:szCs w:val="24"/>
          <w:shd w:val="clear" w:color="auto" w:fill="FFFFFF"/>
        </w:rPr>
        <w:t xml:space="preserve">Elle est </w:t>
      </w:r>
      <w:r w:rsidRPr="00AD51E9">
        <w:rPr>
          <w:rFonts w:eastAsiaTheme="majorEastAsia"/>
          <w:sz w:val="24"/>
          <w:szCs w:val="24"/>
          <w:shd w:val="clear" w:color="auto" w:fill="FFFFFF"/>
        </w:rPr>
        <w:t xml:space="preserve">évaluée cliniquement à l’aide du </w:t>
      </w:r>
      <w:proofErr w:type="spellStart"/>
      <w:r w:rsidR="006F7CA2">
        <w:rPr>
          <w:rFonts w:eastAsiaTheme="majorEastAsia"/>
          <w:sz w:val="24"/>
          <w:szCs w:val="24"/>
          <w:shd w:val="clear" w:color="auto" w:fill="FFFFFF"/>
        </w:rPr>
        <w:t>mRSS</w:t>
      </w:r>
      <w:proofErr w:type="spellEnd"/>
      <w:r w:rsidR="003B507C" w:rsidRPr="00AD51E9">
        <w:rPr>
          <w:rFonts w:eastAsiaTheme="majorEastAsia"/>
          <w:sz w:val="24"/>
          <w:szCs w:val="24"/>
          <w:shd w:val="clear" w:color="auto" w:fill="FFFFFF"/>
        </w:rPr>
        <w:t>,</w:t>
      </w:r>
      <w:r w:rsidRPr="00AD51E9">
        <w:rPr>
          <w:rFonts w:eastAsiaTheme="majorEastAsia"/>
          <w:sz w:val="24"/>
          <w:szCs w:val="24"/>
          <w:shd w:val="clear" w:color="auto" w:fill="FFFFFF"/>
        </w:rPr>
        <w:t xml:space="preserve"> qui côte l’épaississement cutané sur une échelle de 0 à 51 points. </w:t>
      </w:r>
      <w:r w:rsidRPr="00AD51E9">
        <w:rPr>
          <w:rFonts w:eastAsiaTheme="majorEastAsia"/>
          <w:sz w:val="24"/>
          <w:szCs w:val="24"/>
          <w:shd w:val="clear" w:color="auto" w:fill="FFFFFF"/>
        </w:rPr>
        <w:fldChar w:fldCharType="begin"/>
      </w:r>
      <w:r w:rsidR="00CF74EF">
        <w:rPr>
          <w:rFonts w:eastAsiaTheme="majorEastAsia"/>
          <w:sz w:val="24"/>
          <w:szCs w:val="24"/>
          <w:shd w:val="clear" w:color="auto" w:fill="FFFFFF"/>
        </w:rPr>
        <w:instrText xml:space="preserve"> ADDIN ZOTERO_ITEM CSL_CITATION {"citationID":"2kl6V6o1","properties":{"formattedCitation":"(3)","plainCitation":"(3)","noteIndex":0},"citationItems":[{"id":"KWzghzVS/f0Ct7c6v","uris":["http://zotero.org/users/5508055/items/ZLQGGNG7"],"itemData":{"id":774,"type":"article-journal","abstract":"OBJECTIVE: Using data from 3 independent studies, to quantify the interobserver reliability of semi-quantitative skin scoring methods (the original and the modified Rodnan skin thickness scores) used to assess the degree and extent of cutaneous thickening in systemic sclerosis (SSc).\nMETHOD: Interobserver variability of the original Rodnan skin thickness score method (cutaneous thickness assessed in 26 body surface areas using a 0-4 scale) was evaluated in one study. The modified Rodnan method (cutaneous thickness assessed in 17 body surface areas using a 0-3 scale) was evaluated in 2 studies. In all 3 studies, each patient's skin thickness was assessed by 6 or 7 observers in a blinded fashion.\nRESULTS: The overall within patient standard deviations were not statistically different in all 3 studies (5.4, 4.6 and 4.6) irrespective of the overall mean skin thickness scores (26.6, 18.3 and 17.7). With the original Rodnan technique, the within patient standard deviation tended to be higher in patients with higher skin thickness scores. In the 2 studies which used the modified technique, no significant differences in within patient standard deviation were noted between high and low skin thickness scores.\nCONCLUSIONS: Three independent studies demonstrate that the Rodnan skin thickness scoring techniques are reproducible among different observers (the within patient standard deviation being consistently about 5 units). Our data provide valuable information needed for sample size calculations for SSc trials in which skin thickness score is an outcome variable.","container-title":"The Journal of Rheumatology","ISSN":"0315-162X","issue":"11","journalAbbreviation":"J Rheumatol","language":"eng","note":"PMID: 8308774","page":"1892-1896","source":"PubMed","title":"Skin thickness score in systemic sclerosis: an assessment of interobserver variability in 3 independent studies","title-short":"Skin thickness score in systemic sclerosis","volume":"20","author":[{"family":"Clements","given":"P. J."},{"family":"Lachenbruch","given":"P. A."},{"family":"Seibold","given":"J. R."},{"family":"Zee","given":"B."},{"family":"Steen","given":"V. D."},{"family":"Brennan","given":"P."},{"family":"Silman","given":"A. J."},{"family":"Allegar","given":"N."},{"family":"Varga","given":"J."},{"family":"Massa","given":"M."}],"issued":{"date-parts":[["1993",11]]}}}],"schema":"https://github.com/citation-style-language/schema/raw/master/csl-citation.json"} </w:instrText>
      </w:r>
      <w:r w:rsidRPr="00AD51E9">
        <w:rPr>
          <w:rFonts w:eastAsiaTheme="majorEastAsia"/>
          <w:sz w:val="24"/>
          <w:szCs w:val="24"/>
          <w:shd w:val="clear" w:color="auto" w:fill="FFFFFF"/>
        </w:rPr>
        <w:fldChar w:fldCharType="separate"/>
      </w:r>
      <w:r w:rsidR="00C748C5" w:rsidRPr="00C748C5">
        <w:rPr>
          <w:rFonts w:eastAsiaTheme="majorEastAsia"/>
          <w:sz w:val="24"/>
          <w:szCs w:val="24"/>
          <w:shd w:val="clear" w:color="auto" w:fill="FFFFFF"/>
        </w:rPr>
        <w:t>(3)</w:t>
      </w:r>
      <w:r w:rsidRPr="00AD51E9">
        <w:rPr>
          <w:rFonts w:eastAsiaTheme="majorEastAsia"/>
          <w:sz w:val="24"/>
          <w:szCs w:val="24"/>
          <w:shd w:val="clear" w:color="auto" w:fill="FFFFFF"/>
        </w:rPr>
        <w:fldChar w:fldCharType="end"/>
      </w:r>
      <w:r w:rsidR="003B507C" w:rsidRPr="00AD51E9">
        <w:rPr>
          <w:rFonts w:eastAsiaTheme="majorEastAsia"/>
          <w:sz w:val="24"/>
          <w:szCs w:val="24"/>
          <w:shd w:val="clear" w:color="auto" w:fill="FFFFFF"/>
        </w:rPr>
        <w:t xml:space="preserve"> </w:t>
      </w:r>
      <w:r w:rsidR="00C40758" w:rsidRPr="00AD51E9">
        <w:rPr>
          <w:rFonts w:eastAsiaTheme="majorEastAsia"/>
          <w:sz w:val="24"/>
          <w:szCs w:val="24"/>
          <w:shd w:val="clear" w:color="auto" w:fill="FFFFFF"/>
        </w:rPr>
        <w:t xml:space="preserve">L’atteinte pulmonaire </w:t>
      </w:r>
      <w:r w:rsidR="00706286">
        <w:rPr>
          <w:rFonts w:eastAsiaTheme="majorEastAsia"/>
          <w:sz w:val="24"/>
          <w:szCs w:val="24"/>
          <w:shd w:val="clear" w:color="auto" w:fill="FFFFFF"/>
        </w:rPr>
        <w:t>est</w:t>
      </w:r>
      <w:r w:rsidR="00C40758" w:rsidRPr="00AD51E9">
        <w:rPr>
          <w:rFonts w:eastAsiaTheme="majorEastAsia"/>
          <w:sz w:val="24"/>
          <w:szCs w:val="24"/>
          <w:shd w:val="clear" w:color="auto" w:fill="FFFFFF"/>
        </w:rPr>
        <w:t xml:space="preserve"> fréquente </w:t>
      </w:r>
      <w:r w:rsidR="00706286">
        <w:rPr>
          <w:rFonts w:eastAsiaTheme="majorEastAsia"/>
          <w:sz w:val="24"/>
          <w:szCs w:val="24"/>
          <w:shd w:val="clear" w:color="auto" w:fill="FFFFFF"/>
        </w:rPr>
        <w:t xml:space="preserve">et </w:t>
      </w:r>
      <w:r w:rsidR="00C40758" w:rsidRPr="00AD51E9">
        <w:rPr>
          <w:rFonts w:eastAsiaTheme="majorEastAsia"/>
          <w:sz w:val="24"/>
          <w:szCs w:val="24"/>
          <w:shd w:val="clear" w:color="auto" w:fill="FFFFFF"/>
        </w:rPr>
        <w:t xml:space="preserve">consiste en la présence d’une </w:t>
      </w:r>
      <w:r w:rsidRPr="00AD51E9">
        <w:rPr>
          <w:rFonts w:eastAsiaTheme="majorEastAsia"/>
          <w:sz w:val="24"/>
          <w:szCs w:val="24"/>
          <w:shd w:val="clear" w:color="auto" w:fill="FFFFFF"/>
        </w:rPr>
        <w:t xml:space="preserve">pneumopathie interstitielle diffuse </w:t>
      </w:r>
      <w:r w:rsidR="00C40758" w:rsidRPr="00AD51E9">
        <w:rPr>
          <w:rFonts w:eastAsiaTheme="majorEastAsia"/>
          <w:sz w:val="24"/>
          <w:szCs w:val="24"/>
          <w:shd w:val="clear" w:color="auto" w:fill="FFFFFF"/>
        </w:rPr>
        <w:t xml:space="preserve">qui </w:t>
      </w:r>
      <w:r w:rsidRPr="00AD51E9">
        <w:rPr>
          <w:rFonts w:eastAsiaTheme="majorEastAsia"/>
          <w:sz w:val="24"/>
          <w:szCs w:val="24"/>
          <w:shd w:val="clear" w:color="auto" w:fill="FFFFFF"/>
        </w:rPr>
        <w:t xml:space="preserve">est retrouvée radiologiquement chez 20 à 50% des patients. Cette atteinte initialement asymptomatique peut évoluer vers l’insuffisance respiratoire chronique et est une des principales causes de mortalité dans la </w:t>
      </w:r>
      <w:proofErr w:type="spellStart"/>
      <w:r w:rsidRPr="00AD51E9">
        <w:rPr>
          <w:rFonts w:eastAsiaTheme="majorEastAsia"/>
          <w:sz w:val="24"/>
          <w:szCs w:val="24"/>
          <w:shd w:val="clear" w:color="auto" w:fill="FFFFFF"/>
        </w:rPr>
        <w:t>ScS</w:t>
      </w:r>
      <w:proofErr w:type="spellEnd"/>
      <w:r w:rsidRPr="00AD51E9">
        <w:rPr>
          <w:rFonts w:eastAsiaTheme="majorEastAsia"/>
          <w:sz w:val="24"/>
          <w:szCs w:val="24"/>
          <w:shd w:val="clear" w:color="auto" w:fill="FFFFFF"/>
        </w:rPr>
        <w:t xml:space="preserve">. </w:t>
      </w:r>
      <w:r w:rsidR="00C40758">
        <w:rPr>
          <w:sz w:val="24"/>
          <w:szCs w:val="24"/>
        </w:rPr>
        <w:t>A</w:t>
      </w:r>
      <w:r w:rsidRPr="004906CE">
        <w:rPr>
          <w:sz w:val="24"/>
          <w:szCs w:val="24"/>
        </w:rPr>
        <w:t xml:space="preserve"> l’heure actuelle, il n’existe pas de traitement curatif de la </w:t>
      </w:r>
      <w:proofErr w:type="spellStart"/>
      <w:r w:rsidRPr="004906CE">
        <w:rPr>
          <w:sz w:val="24"/>
          <w:szCs w:val="24"/>
        </w:rPr>
        <w:t>ScS</w:t>
      </w:r>
      <w:proofErr w:type="spellEnd"/>
      <w:r w:rsidR="00C40758">
        <w:rPr>
          <w:sz w:val="24"/>
          <w:szCs w:val="24"/>
        </w:rPr>
        <w:t xml:space="preserve"> et la recherche de traitement limitant la progression des atteintes d’organe </w:t>
      </w:r>
      <w:r w:rsidR="00BC19FD">
        <w:rPr>
          <w:sz w:val="24"/>
          <w:szCs w:val="24"/>
        </w:rPr>
        <w:t>r</w:t>
      </w:r>
      <w:r w:rsidR="00C40758">
        <w:rPr>
          <w:sz w:val="24"/>
          <w:szCs w:val="24"/>
        </w:rPr>
        <w:t>est</w:t>
      </w:r>
      <w:r w:rsidR="00BC19FD">
        <w:rPr>
          <w:sz w:val="24"/>
          <w:szCs w:val="24"/>
        </w:rPr>
        <w:t>e</w:t>
      </w:r>
      <w:r w:rsidR="00C40758">
        <w:rPr>
          <w:sz w:val="24"/>
          <w:szCs w:val="24"/>
        </w:rPr>
        <w:t xml:space="preserve"> une nécessité</w:t>
      </w:r>
      <w:r w:rsidR="00BC19FD">
        <w:rPr>
          <w:sz w:val="24"/>
          <w:szCs w:val="24"/>
        </w:rPr>
        <w:t>.</w:t>
      </w:r>
      <w:r w:rsidR="00A93C3B">
        <w:rPr>
          <w:sz w:val="24"/>
          <w:szCs w:val="24"/>
        </w:rPr>
        <w:t xml:space="preserve"> </w:t>
      </w:r>
    </w:p>
    <w:p w14:paraId="21B9530D" w14:textId="77777777" w:rsidR="00A93C3B" w:rsidRDefault="00A93C3B" w:rsidP="00370130">
      <w:pPr>
        <w:widowControl/>
        <w:autoSpaceDE/>
        <w:autoSpaceDN/>
        <w:spacing w:after="160"/>
        <w:contextualSpacing/>
        <w:jc w:val="both"/>
        <w:rPr>
          <w:sz w:val="24"/>
          <w:szCs w:val="24"/>
        </w:rPr>
      </w:pPr>
    </w:p>
    <w:p w14:paraId="4278849C" w14:textId="644D0A1C" w:rsidR="008B7966" w:rsidRPr="00CB5377" w:rsidRDefault="00B82720" w:rsidP="005641B1">
      <w:pPr>
        <w:widowControl/>
        <w:autoSpaceDE/>
        <w:autoSpaceDN/>
        <w:spacing w:after="160"/>
        <w:contextualSpacing/>
        <w:jc w:val="both"/>
        <w:rPr>
          <w:sz w:val="24"/>
          <w:szCs w:val="24"/>
        </w:rPr>
      </w:pPr>
      <w:r>
        <w:rPr>
          <w:sz w:val="24"/>
          <w:szCs w:val="24"/>
        </w:rPr>
        <w:t xml:space="preserve">Pour </w:t>
      </w:r>
      <w:r w:rsidR="00AD51E9">
        <w:rPr>
          <w:sz w:val="24"/>
          <w:szCs w:val="24"/>
        </w:rPr>
        <w:t xml:space="preserve">les atteintes de fibrose cutanée, les traitements systémiques recommandés en première intention sont le </w:t>
      </w:r>
      <w:r w:rsidR="0006329F">
        <w:rPr>
          <w:sz w:val="24"/>
          <w:szCs w:val="24"/>
        </w:rPr>
        <w:t>méthotrexate</w:t>
      </w:r>
      <w:r w:rsidR="00AD51E9">
        <w:rPr>
          <w:sz w:val="24"/>
          <w:szCs w:val="24"/>
        </w:rPr>
        <w:t xml:space="preserve">, le </w:t>
      </w:r>
      <w:r w:rsidR="00706286">
        <w:rPr>
          <w:sz w:val="24"/>
          <w:szCs w:val="24"/>
        </w:rPr>
        <w:t>cyclophosphamide</w:t>
      </w:r>
      <w:r w:rsidR="00AD51E9">
        <w:rPr>
          <w:sz w:val="24"/>
          <w:szCs w:val="24"/>
        </w:rPr>
        <w:t xml:space="preserve"> ou le </w:t>
      </w:r>
      <w:r w:rsidR="00706286">
        <w:rPr>
          <w:sz w:val="24"/>
          <w:szCs w:val="24"/>
        </w:rPr>
        <w:t>MMF</w:t>
      </w:r>
      <w:r w:rsidR="00AD51E9">
        <w:rPr>
          <w:sz w:val="24"/>
          <w:szCs w:val="24"/>
        </w:rPr>
        <w:t xml:space="preserve"> </w:t>
      </w:r>
      <w:r w:rsidR="00A93C3B">
        <w:rPr>
          <w:sz w:val="24"/>
          <w:szCs w:val="24"/>
        </w:rPr>
        <w:t>parfois</w:t>
      </w:r>
      <w:r w:rsidR="00AD51E9">
        <w:rPr>
          <w:sz w:val="24"/>
          <w:szCs w:val="24"/>
        </w:rPr>
        <w:t xml:space="preserve"> associée à une corticothérapie </w:t>
      </w:r>
      <w:r w:rsidR="00A93C3B">
        <w:rPr>
          <w:sz w:val="24"/>
          <w:szCs w:val="24"/>
        </w:rPr>
        <w:t>à faible posologie (≤ 15 mg/j)</w:t>
      </w:r>
      <w:r w:rsidR="00AD51E9">
        <w:rPr>
          <w:sz w:val="24"/>
          <w:szCs w:val="24"/>
        </w:rPr>
        <w:t xml:space="preserve">. Le </w:t>
      </w:r>
      <w:r w:rsidR="00706286">
        <w:rPr>
          <w:sz w:val="24"/>
          <w:szCs w:val="24"/>
        </w:rPr>
        <w:t xml:space="preserve">RTX </w:t>
      </w:r>
      <w:r w:rsidR="00AD51E9">
        <w:rPr>
          <w:sz w:val="24"/>
          <w:szCs w:val="24"/>
        </w:rPr>
        <w:t xml:space="preserve">apparait également comme une </w:t>
      </w:r>
      <w:r w:rsidR="00A93C3B">
        <w:rPr>
          <w:sz w:val="24"/>
          <w:szCs w:val="24"/>
        </w:rPr>
        <w:t>alternative</w:t>
      </w:r>
      <w:r w:rsidR="00AD51E9">
        <w:rPr>
          <w:sz w:val="24"/>
          <w:szCs w:val="24"/>
        </w:rPr>
        <w:t xml:space="preserve"> thérapeutique dans cette indication. </w:t>
      </w:r>
      <w:r w:rsidR="00A93C3B" w:rsidRPr="00CB5377">
        <w:rPr>
          <w:sz w:val="24"/>
          <w:szCs w:val="24"/>
        </w:rPr>
        <w:t xml:space="preserve">L’utilisation du MMF repose sur des </w:t>
      </w:r>
      <w:r w:rsidR="004906CE" w:rsidRPr="00CB5377">
        <w:rPr>
          <w:sz w:val="24"/>
          <w:szCs w:val="24"/>
        </w:rPr>
        <w:t>études observationnelles et des études contrôlées dans l’atteinte</w:t>
      </w:r>
      <w:r w:rsidR="00CA2ABE" w:rsidRPr="00CB5377">
        <w:rPr>
          <w:sz w:val="24"/>
          <w:szCs w:val="24"/>
        </w:rPr>
        <w:t xml:space="preserve"> </w:t>
      </w:r>
      <w:r w:rsidR="004906CE" w:rsidRPr="00CB5377">
        <w:rPr>
          <w:sz w:val="24"/>
          <w:szCs w:val="24"/>
        </w:rPr>
        <w:t>pulmonaire</w:t>
      </w:r>
      <w:r w:rsidR="00A93C3B" w:rsidRPr="00CB5377">
        <w:rPr>
          <w:sz w:val="24"/>
          <w:szCs w:val="24"/>
        </w:rPr>
        <w:t xml:space="preserve"> comme de</w:t>
      </w:r>
      <w:r w:rsidR="004906CE" w:rsidRPr="00CB5377">
        <w:rPr>
          <w:sz w:val="24"/>
          <w:szCs w:val="24"/>
        </w:rPr>
        <w:t xml:space="preserve"> l’étude SLS-II, </w:t>
      </w:r>
      <w:r w:rsidR="00A93C3B" w:rsidRPr="00CB5377">
        <w:rPr>
          <w:sz w:val="24"/>
          <w:szCs w:val="24"/>
        </w:rPr>
        <w:t xml:space="preserve">où </w:t>
      </w:r>
      <w:r w:rsidR="004906CE" w:rsidRPr="00CB5377">
        <w:rPr>
          <w:sz w:val="24"/>
          <w:szCs w:val="24"/>
        </w:rPr>
        <w:t xml:space="preserve">l’utilisation de MMF était associée à une </w:t>
      </w:r>
      <w:r w:rsidR="00A93C3B" w:rsidRPr="00CB5377">
        <w:rPr>
          <w:sz w:val="24"/>
          <w:szCs w:val="24"/>
        </w:rPr>
        <w:t xml:space="preserve">amélioration du </w:t>
      </w:r>
      <w:proofErr w:type="spellStart"/>
      <w:r w:rsidR="006F7CA2">
        <w:rPr>
          <w:sz w:val="24"/>
          <w:szCs w:val="24"/>
        </w:rPr>
        <w:t>mRSS</w:t>
      </w:r>
      <w:proofErr w:type="spellEnd"/>
      <w:r w:rsidR="00A93C3B" w:rsidRPr="00CB5377">
        <w:rPr>
          <w:sz w:val="24"/>
          <w:szCs w:val="24"/>
        </w:rPr>
        <w:t xml:space="preserve"> en comparaison au groupe placebo à 24 mois.</w:t>
      </w:r>
      <w:r w:rsidR="00C748C5">
        <w:rPr>
          <w:sz w:val="24"/>
          <w:szCs w:val="24"/>
        </w:rPr>
        <w:t xml:space="preserve"> </w:t>
      </w:r>
      <w:r w:rsidR="00706286">
        <w:rPr>
          <w:sz w:val="24"/>
          <w:szCs w:val="24"/>
        </w:rPr>
        <w:t>(CVF)</w:t>
      </w:r>
      <w:r w:rsidR="00C748C5">
        <w:rPr>
          <w:sz w:val="24"/>
          <w:szCs w:val="24"/>
        </w:rPr>
        <w:fldChar w:fldCharType="begin"/>
      </w:r>
      <w:r w:rsidR="00CF74EF">
        <w:rPr>
          <w:sz w:val="24"/>
          <w:szCs w:val="24"/>
        </w:rPr>
        <w:instrText xml:space="preserve"> ADDIN ZOTERO_ITEM CSL_CITATION {"citationID":"8KjMqj15","properties":{"formattedCitation":"(4)","plainCitation":"(4)","noteIndex":0},"citationItems":[{"id":"KWzghzVS/uVkXlhfV","uris":["http://zotero.org/users/5508055/items/U8A6962R"],"itemData":{"id":1225,"type":"article-journal","abstract":"BACKGROUND: 12 months of oral cyclophosphamide has been shown to alter the progression of scleroderma-related interstitial lung disease when compared with placebo. However, toxicity was a concern and without continued treatment the efficacy disappeared by 24 months. We hypothesised that a 2 year course of mycophenolate mofetil would be safer, better tolerated, and produce longer lasting improvements than cyclophosphamide.\nMETHODS: This randomised, double-blind, parallel group trial enrolled patients from 14 US medical centres with scleroderma-related interstitial lung disease meeting defined dyspnoea, pulmonary function, and high-resolution CT (HRCT) criteria. The data coordinating centre at the University of California, Los Angeles (UCLA, CA, USA), randomly assigned patients using a double-blind, double-dummy, centre-blocked design to receive either mycophenolate mofetil (target dose 1500 mg twice daily) for 24 months or oral cyclophosphamide (target dose 2·0 mg/kg per day) for 12 months followed by placebo for 12 months. Drugs were given in matching 250 mg gel capsules. The primary endpoint, change in forced vital capacity as a percentage of the predicted normal value (FVC %) over the course of 24 months, was assessed in a modified intention-to-treat analysis using an inferential joint model combining a mixed-effects model for longitudinal outcomes and a survival model to handle non-ignorable missing data. The study was registered with ClinicalTrials.gov, number NCT00883129.\nFINDINGS: Between Sept 28, 2009, and Jan 14, 2013, 142 patients were randomly assigned to either mycophenolate mofetil (n=69) or cyclophosphamide (n=73). 126 patients (mycophenolate mofetil [n=63] and cyclophosphamide [n=63]) with acceptable baseline HRCT studies and at least one outcome measure were included in the primary analysis. The adjusted % predicted FVC improved from baseline to 24 months by 2·19 in the mycophenolate mofetil group (95% CI 0·53-3·84) and 2·88 in the cyclophosphamide group (1·19-4·58). The course of the % FVC did not differ significantly between the two treatment groups based on the prespecified primary analysis using a joint model (p=0·24), indicating that the trial was negative for the primary endpoint. However, in a post-hoc analysis of the primary endpoint, the within-treatment change from baseline to 24 months derived from the joint model showed that the % FVC improved significantly in both the mycophenolate mofetil and cyclophosphamide groups. 16 (11%) patients died (five [7%] mycophenolate mofetil and 11 [15%] cyclophosphamide), with most due to progressive interstitial lung disease. Leucopenia (30 patients vs four patients) and thrombocytopenia (four vs zero) occurred more often in patients given cyclophosphamide than mycophenolate mofetil. Fewer patients on mycophenolate mofetil than on cyclophosphamide prematurely withdrew from study drug (20 vs 32) or met prespecified criteria for treatment failure (zero vs two). The time to stopping treatment was shorter in the cyclophosphamide group (p=0·019).\nINTERPRETATION: Treatment of scleroderma-related interstitial lung disease with mycophenolate mofetil for 2 years or cyclophosphamide for 1 year both resulted in significant improvements in prespecified measures of lung function over the 2 year course of the study. Although mycophenolate mofetil was better tolerated and associated with less toxicity, the hypothesis that it would have greater efficacy at 24 months than cyclophosphamide was not confirmed. These findings support the potential clinical effectiveness of both cyclophosphamide and mycophenolate mofetil for progressive scleroderma-related interstitial lung disease, and the present preference for mycophenolate mofetil because of its better tolerability and toxicity profile.\nFUNDING: National Heart, Lung and Blood Institute, National Institutes of Health; with drug supply provided by Hoffmann-La Roche and Genentech.","container-title":"The Lancet. Respiratory Medicine","DOI":"10.1016/S2213-2600(16)30152-7","ISSN":"2213-2619","issue":"9","journalAbbreviation":"Lancet Respir Med","language":"eng","note":"PMID: 27469583\nPMCID: PMC5014629","page":"708-719","source":"PubMed","title":"Mycophenolate mofetil versus oral cyclophosphamide in scleroderma-related interstitial lung disease (SLS II): a randomised controlled, double-blind, parallel group trial","title-short":"Mycophenolate mofetil versus oral cyclophosphamide in scleroderma-related interstitial lung disease (SLS II)","volume":"4","author":[{"family":"Tashkin","given":"Donald P."},{"family":"Roth","given":"Michael D."},{"family":"Clements","given":"Philip J."},{"family":"Furst","given":"Daniel E."},{"family":"Khanna","given":"Dinesh"},{"family":"Kleerup","given":"Eric C."},{"family":"Goldin","given":"Jonathan"},{"family":"Arriola","given":"Edgar"},{"family":"Volkmann","given":"Elizabeth R."},{"family":"Kafaja","given":"Suzanne"},{"family":"Silver","given":"Richard"},{"family":"Steen","given":"Virginia"},{"family":"Strange","given":"Charlie"},{"family":"Wise","given":"Robert"},{"family":"Wigley","given":"Fredrick"},{"family":"Mayes","given":"Maureen"},{"family":"Riley","given":"David J."},{"family":"Hussain","given":"Sabiha"},{"family":"Assassi","given":"Shervin"},{"family":"Hsu","given":"Vivien M."},{"family":"Patel","given":"Bela"},{"family":"Phillips","given":"Kristine"},{"family":"Martinez","given":"Fernando"},{"family":"Golden","given":"Jeffrey"},{"family":"Connolly","given":"M. Kari"},{"family":"Varga","given":"John"},{"family":"Dematte","given":"Jane"},{"family":"Hinchcliff","given":"Monique E."},{"family":"Fischer","given":"Aryeh"},{"family":"Swigris","given":"Jeffrey"},{"family":"Meehan","given":"Richard"},{"family":"Theodore","given":"Arthur"},{"family":"Simms","given":"Robert"},{"family":"Volkov","given":"Suncica"},{"family":"Schraufnagel","given":"Dean E."},{"family":"Scholand","given":"Mary Beth"},{"family":"Frech","given":"Tracy"},{"family":"Molitor","given":"Jerry A."},{"family":"Highland","given":"Kristin"},{"family":"Read","given":"Charles A."},{"family":"Fritzler","given":"Marvin J."},{"family":"Kim","given":"Grace Hyun J."},{"family":"Tseng","given":"Chi-Hong"},{"family":"Elashoff","given":"Robert M."},{"literal":"Sclerodema Lung Study II Investigators"}],"issued":{"date-parts":[["2016",9]]}}}],"schema":"https://github.com/citation-style-language/schema/raw/master/csl-citation.json"} </w:instrText>
      </w:r>
      <w:r w:rsidR="00C748C5">
        <w:rPr>
          <w:sz w:val="24"/>
          <w:szCs w:val="24"/>
        </w:rPr>
        <w:fldChar w:fldCharType="separate"/>
      </w:r>
      <w:r w:rsidR="00C748C5" w:rsidRPr="00C748C5">
        <w:rPr>
          <w:sz w:val="24"/>
        </w:rPr>
        <w:t>(4)</w:t>
      </w:r>
      <w:r w:rsidR="00C748C5">
        <w:rPr>
          <w:sz w:val="24"/>
          <w:szCs w:val="24"/>
        </w:rPr>
        <w:fldChar w:fldCharType="end"/>
      </w:r>
      <w:r w:rsidR="00706286">
        <w:rPr>
          <w:sz w:val="24"/>
          <w:szCs w:val="24"/>
        </w:rPr>
        <w:t>. Récemment,</w:t>
      </w:r>
      <w:r w:rsidR="00A93C3B" w:rsidRPr="00CB5377">
        <w:rPr>
          <w:sz w:val="24"/>
          <w:szCs w:val="24"/>
        </w:rPr>
        <w:t xml:space="preserve"> </w:t>
      </w:r>
      <w:r w:rsidR="00706286">
        <w:rPr>
          <w:sz w:val="24"/>
          <w:szCs w:val="24"/>
        </w:rPr>
        <w:t>l</w:t>
      </w:r>
      <w:r w:rsidR="00A93C3B" w:rsidRPr="00CB5377">
        <w:rPr>
          <w:sz w:val="24"/>
          <w:szCs w:val="24"/>
        </w:rPr>
        <w:t xml:space="preserve">’essai thérapeutique DESIRES </w:t>
      </w:r>
      <w:r w:rsidR="00706286">
        <w:rPr>
          <w:sz w:val="24"/>
          <w:szCs w:val="24"/>
        </w:rPr>
        <w:t>a mis</w:t>
      </w:r>
      <w:r w:rsidR="00706286" w:rsidRPr="00CB5377">
        <w:rPr>
          <w:sz w:val="24"/>
          <w:szCs w:val="24"/>
        </w:rPr>
        <w:t xml:space="preserve"> </w:t>
      </w:r>
      <w:r w:rsidR="00A93C3B" w:rsidRPr="00CB5377">
        <w:rPr>
          <w:sz w:val="24"/>
          <w:szCs w:val="24"/>
        </w:rPr>
        <w:t xml:space="preserve">en évidence une efficacité du </w:t>
      </w:r>
      <w:r w:rsidR="00706286">
        <w:rPr>
          <w:sz w:val="24"/>
          <w:szCs w:val="24"/>
        </w:rPr>
        <w:t>RTX</w:t>
      </w:r>
      <w:r w:rsidR="00706286" w:rsidRPr="00CB5377">
        <w:rPr>
          <w:sz w:val="24"/>
          <w:szCs w:val="24"/>
        </w:rPr>
        <w:t xml:space="preserve"> </w:t>
      </w:r>
      <w:r w:rsidR="00A93C3B" w:rsidRPr="00CB5377">
        <w:rPr>
          <w:sz w:val="24"/>
          <w:szCs w:val="24"/>
        </w:rPr>
        <w:t xml:space="preserve">contre placebo </w:t>
      </w:r>
      <w:r w:rsidR="00706286">
        <w:rPr>
          <w:sz w:val="24"/>
          <w:szCs w:val="24"/>
        </w:rPr>
        <w:t xml:space="preserve">dans la </w:t>
      </w:r>
      <w:proofErr w:type="spellStart"/>
      <w:r w:rsidR="00706286">
        <w:rPr>
          <w:sz w:val="24"/>
          <w:szCs w:val="24"/>
        </w:rPr>
        <w:t>ScS</w:t>
      </w:r>
      <w:proofErr w:type="spellEnd"/>
      <w:r w:rsidR="00706286">
        <w:rPr>
          <w:sz w:val="24"/>
          <w:szCs w:val="24"/>
        </w:rPr>
        <w:t xml:space="preserve"> aussi bien </w:t>
      </w:r>
      <w:r w:rsidR="00A93C3B" w:rsidRPr="00CB5377">
        <w:rPr>
          <w:sz w:val="24"/>
          <w:szCs w:val="24"/>
        </w:rPr>
        <w:t xml:space="preserve">sur le </w:t>
      </w:r>
      <w:proofErr w:type="spellStart"/>
      <w:r w:rsidR="006F7CA2">
        <w:rPr>
          <w:sz w:val="24"/>
          <w:szCs w:val="24"/>
        </w:rPr>
        <w:t>mRSS</w:t>
      </w:r>
      <w:proofErr w:type="spellEnd"/>
      <w:r w:rsidR="00A93C3B" w:rsidRPr="00CB5377">
        <w:rPr>
          <w:sz w:val="24"/>
          <w:szCs w:val="24"/>
        </w:rPr>
        <w:t xml:space="preserve"> à 24 semaines (−6</w:t>
      </w:r>
      <w:r w:rsidR="00CB5377">
        <w:rPr>
          <w:sz w:val="24"/>
          <w:szCs w:val="24"/>
        </w:rPr>
        <w:t>,3 dans le groupe Rituximab</w:t>
      </w:r>
      <w:r w:rsidR="00CB5377" w:rsidRPr="00CB5377">
        <w:rPr>
          <w:i/>
          <w:iCs/>
          <w:sz w:val="24"/>
          <w:szCs w:val="24"/>
        </w:rPr>
        <w:t xml:space="preserve"> </w:t>
      </w:r>
      <w:r w:rsidR="00A93C3B" w:rsidRPr="00CB5377">
        <w:rPr>
          <w:i/>
          <w:iCs/>
          <w:sz w:val="24"/>
          <w:szCs w:val="24"/>
        </w:rPr>
        <w:t>vs</w:t>
      </w:r>
      <w:r w:rsidR="00A93C3B" w:rsidRPr="00CB5377">
        <w:rPr>
          <w:sz w:val="24"/>
          <w:szCs w:val="24"/>
        </w:rPr>
        <w:t> 2</w:t>
      </w:r>
      <w:r w:rsidR="00CB5377">
        <w:rPr>
          <w:sz w:val="24"/>
          <w:szCs w:val="24"/>
        </w:rPr>
        <w:t>,</w:t>
      </w:r>
      <w:r w:rsidR="00A93C3B" w:rsidRPr="00CB5377">
        <w:rPr>
          <w:sz w:val="24"/>
          <w:szCs w:val="24"/>
        </w:rPr>
        <w:t xml:space="preserve">1 </w:t>
      </w:r>
      <w:r w:rsidR="00CB5377">
        <w:rPr>
          <w:sz w:val="24"/>
          <w:szCs w:val="24"/>
        </w:rPr>
        <w:t xml:space="preserve">dans le groupe placebo </w:t>
      </w:r>
      <w:r w:rsidR="00A93C3B" w:rsidRPr="00CB5377">
        <w:rPr>
          <w:sz w:val="24"/>
          <w:szCs w:val="24"/>
        </w:rPr>
        <w:t>; p&lt;0·0001)</w:t>
      </w:r>
      <w:r w:rsidR="00706286">
        <w:rPr>
          <w:sz w:val="24"/>
          <w:szCs w:val="24"/>
        </w:rPr>
        <w:t xml:space="preserve"> que sur la CVF</w:t>
      </w:r>
      <w:r w:rsidR="00A93C3B" w:rsidRPr="00CB5377">
        <w:rPr>
          <w:sz w:val="24"/>
          <w:szCs w:val="24"/>
        </w:rPr>
        <w:t>.</w:t>
      </w:r>
      <w:r w:rsidR="00C748C5">
        <w:rPr>
          <w:sz w:val="24"/>
          <w:szCs w:val="24"/>
        </w:rPr>
        <w:t xml:space="preserve"> </w:t>
      </w:r>
      <w:r w:rsidR="00C748C5">
        <w:rPr>
          <w:sz w:val="24"/>
          <w:szCs w:val="24"/>
        </w:rPr>
        <w:fldChar w:fldCharType="begin"/>
      </w:r>
      <w:r w:rsidR="00CF74EF">
        <w:rPr>
          <w:sz w:val="24"/>
          <w:szCs w:val="24"/>
        </w:rPr>
        <w:instrText xml:space="preserve"> ADDIN ZOTERO_ITEM CSL_CITATION {"citationID":"x2sr7dJB","properties":{"formattedCitation":"(5)","plainCitation":"(5)","noteIndex":0},"citationItems":[{"id":"KWzghzVS/duwb8Hpx","uris":["http://zotero.org/users/5508055/items/B26I6DSL"],"itemData":{"id":1228,"type":"webpage","title":"Safety and efficacy of rituximab in systemic sclerosis (DESIRES): a double-blind, investigator-initiated, randomised, placebo-controlled trial - The Lancet Rheumatology","URL":"https://www.thelancet.com/journals/lanrhe/article/PIIS2665-9913(21)00107-7/fulltext","accessed":{"date-parts":[["2022",11,24]]}}}],"schema":"https://github.com/citation-style-language/schema/raw/master/csl-citation.json"} </w:instrText>
      </w:r>
      <w:r w:rsidR="00C748C5">
        <w:rPr>
          <w:sz w:val="24"/>
          <w:szCs w:val="24"/>
        </w:rPr>
        <w:fldChar w:fldCharType="separate"/>
      </w:r>
      <w:r w:rsidR="00C748C5" w:rsidRPr="00C748C5">
        <w:rPr>
          <w:sz w:val="24"/>
        </w:rPr>
        <w:t>(5)</w:t>
      </w:r>
      <w:r w:rsidR="00C748C5">
        <w:rPr>
          <w:sz w:val="24"/>
          <w:szCs w:val="24"/>
        </w:rPr>
        <w:fldChar w:fldCharType="end"/>
      </w:r>
      <w:r w:rsidR="00BC19FD">
        <w:rPr>
          <w:sz w:val="24"/>
          <w:szCs w:val="24"/>
        </w:rPr>
        <w:t xml:space="preserve"> Dans cette étude le RTX était utilisé en association dans </w:t>
      </w:r>
      <w:r w:rsidR="00297539">
        <w:rPr>
          <w:sz w:val="24"/>
          <w:szCs w:val="24"/>
        </w:rPr>
        <w:t>14/54</w:t>
      </w:r>
      <w:r w:rsidR="00BC19FD">
        <w:rPr>
          <w:sz w:val="24"/>
          <w:szCs w:val="24"/>
        </w:rPr>
        <w:t xml:space="preserve"> des patients et n’ont pas été comparés aux autres patients. </w:t>
      </w:r>
      <w:r w:rsidR="00A93C3B" w:rsidRPr="00CB5377">
        <w:rPr>
          <w:sz w:val="24"/>
          <w:szCs w:val="24"/>
        </w:rPr>
        <w:t>En ce qui concerne les atteintes pulmonaires intersti</w:t>
      </w:r>
      <w:r w:rsidR="00CB5377" w:rsidRPr="00CB5377">
        <w:rPr>
          <w:sz w:val="24"/>
          <w:szCs w:val="24"/>
        </w:rPr>
        <w:t>ti</w:t>
      </w:r>
      <w:r w:rsidR="00A93C3B" w:rsidRPr="00CB5377">
        <w:rPr>
          <w:sz w:val="24"/>
          <w:szCs w:val="24"/>
        </w:rPr>
        <w:t xml:space="preserve">elles, </w:t>
      </w:r>
      <w:r w:rsidR="00CB5377">
        <w:rPr>
          <w:sz w:val="24"/>
          <w:szCs w:val="24"/>
        </w:rPr>
        <w:t xml:space="preserve">l’utilisation de </w:t>
      </w:r>
      <w:r w:rsidR="00A93C3B" w:rsidRPr="00CB5377">
        <w:rPr>
          <w:sz w:val="24"/>
          <w:szCs w:val="24"/>
        </w:rPr>
        <w:t>MMF</w:t>
      </w:r>
      <w:r w:rsidR="008B7966" w:rsidRPr="00CB5377">
        <w:rPr>
          <w:sz w:val="24"/>
          <w:szCs w:val="24"/>
        </w:rPr>
        <w:t xml:space="preserve"> </w:t>
      </w:r>
      <w:r w:rsidR="00A93C3B" w:rsidRPr="00CB5377">
        <w:rPr>
          <w:sz w:val="24"/>
          <w:szCs w:val="24"/>
        </w:rPr>
        <w:t xml:space="preserve">est </w:t>
      </w:r>
      <w:r w:rsidR="00CB5377">
        <w:rPr>
          <w:sz w:val="24"/>
          <w:szCs w:val="24"/>
        </w:rPr>
        <w:t>justifiée par</w:t>
      </w:r>
      <w:r w:rsidR="00A93C3B" w:rsidRPr="00CB5377">
        <w:rPr>
          <w:sz w:val="24"/>
          <w:szCs w:val="24"/>
        </w:rPr>
        <w:t xml:space="preserve"> </w:t>
      </w:r>
      <w:r w:rsidR="00C748C5">
        <w:rPr>
          <w:sz w:val="24"/>
          <w:szCs w:val="24"/>
        </w:rPr>
        <w:t>l’</w:t>
      </w:r>
      <w:r w:rsidR="00A93C3B" w:rsidRPr="00CB5377">
        <w:rPr>
          <w:sz w:val="24"/>
          <w:szCs w:val="24"/>
        </w:rPr>
        <w:t>étude</w:t>
      </w:r>
      <w:r w:rsidR="008B7966" w:rsidRPr="00CB5377">
        <w:rPr>
          <w:sz w:val="24"/>
          <w:szCs w:val="24"/>
        </w:rPr>
        <w:t xml:space="preserve"> de</w:t>
      </w:r>
      <w:r w:rsidR="004906CE" w:rsidRPr="00CB5377">
        <w:rPr>
          <w:sz w:val="24"/>
          <w:szCs w:val="24"/>
        </w:rPr>
        <w:t xml:space="preserve"> non-infériorité randomisée </w:t>
      </w:r>
      <w:r w:rsidR="008B7966" w:rsidRPr="00CB5377">
        <w:rPr>
          <w:sz w:val="24"/>
          <w:szCs w:val="24"/>
        </w:rPr>
        <w:t>contre le</w:t>
      </w:r>
      <w:r w:rsidR="004906CE" w:rsidRPr="00CB5377">
        <w:rPr>
          <w:sz w:val="24"/>
          <w:szCs w:val="24"/>
        </w:rPr>
        <w:t xml:space="preserve"> cyclophosphamide par voie orale</w:t>
      </w:r>
      <w:r w:rsidR="00C748C5">
        <w:rPr>
          <w:sz w:val="24"/>
          <w:szCs w:val="24"/>
        </w:rPr>
        <w:t xml:space="preserve"> SLS-II</w:t>
      </w:r>
      <w:r w:rsidR="008B7966" w:rsidRPr="00CB5377">
        <w:rPr>
          <w:sz w:val="24"/>
          <w:szCs w:val="24"/>
        </w:rPr>
        <w:t xml:space="preserve">. </w:t>
      </w:r>
      <w:r w:rsidR="00CA2ABE" w:rsidRPr="00CB5377">
        <w:rPr>
          <w:sz w:val="24"/>
          <w:szCs w:val="24"/>
        </w:rPr>
        <w:t>Le RTX a</w:t>
      </w:r>
      <w:r w:rsidR="00BC19FD">
        <w:rPr>
          <w:sz w:val="24"/>
          <w:szCs w:val="24"/>
        </w:rPr>
        <w:t xml:space="preserve"> là-aussi</w:t>
      </w:r>
      <w:r w:rsidR="00CA2ABE" w:rsidRPr="00CB5377">
        <w:rPr>
          <w:sz w:val="24"/>
          <w:szCs w:val="24"/>
        </w:rPr>
        <w:t xml:space="preserve"> fait l’objet d</w:t>
      </w:r>
      <w:r w:rsidR="00706286">
        <w:rPr>
          <w:sz w:val="24"/>
          <w:szCs w:val="24"/>
        </w:rPr>
        <w:t>’</w:t>
      </w:r>
      <w:r w:rsidR="00CA2ABE" w:rsidRPr="00CB5377">
        <w:rPr>
          <w:sz w:val="24"/>
          <w:szCs w:val="24"/>
        </w:rPr>
        <w:t>essais randomisés de faible effectif</w:t>
      </w:r>
      <w:r w:rsidR="00706286">
        <w:rPr>
          <w:sz w:val="24"/>
          <w:szCs w:val="24"/>
        </w:rPr>
        <w:t xml:space="preserve"> dont l’étude DESIRES</w:t>
      </w:r>
      <w:r w:rsidR="00CA2ABE" w:rsidRPr="00CB5377">
        <w:rPr>
          <w:sz w:val="24"/>
          <w:szCs w:val="24"/>
        </w:rPr>
        <w:t xml:space="preserve"> avec des résultats </w:t>
      </w:r>
      <w:r w:rsidR="00706286">
        <w:rPr>
          <w:sz w:val="24"/>
          <w:szCs w:val="24"/>
        </w:rPr>
        <w:t>intéressant</w:t>
      </w:r>
      <w:r w:rsidR="00706286" w:rsidRPr="00CB5377">
        <w:rPr>
          <w:sz w:val="24"/>
          <w:szCs w:val="24"/>
        </w:rPr>
        <w:t xml:space="preserve"> </w:t>
      </w:r>
      <w:r w:rsidR="00CA2ABE" w:rsidRPr="00CB5377">
        <w:rPr>
          <w:sz w:val="24"/>
          <w:szCs w:val="24"/>
        </w:rPr>
        <w:t>sur la CVF</w:t>
      </w:r>
      <w:r w:rsidR="008B7966" w:rsidRPr="00CB5377">
        <w:rPr>
          <w:sz w:val="24"/>
          <w:szCs w:val="24"/>
        </w:rPr>
        <w:t>, ce qui en fait également une alternative.</w:t>
      </w:r>
      <w:r w:rsidR="004A4011">
        <w:rPr>
          <w:sz w:val="24"/>
          <w:szCs w:val="24"/>
        </w:rPr>
        <w:fldChar w:fldCharType="begin"/>
      </w:r>
      <w:r w:rsidR="00CF74EF">
        <w:rPr>
          <w:sz w:val="24"/>
          <w:szCs w:val="24"/>
        </w:rPr>
        <w:instrText xml:space="preserve"> ADDIN ZOTERO_ITEM CSL_CITATION {"citationID":"EW49Q4mq","properties":{"formattedCitation":"(6)","plainCitation":"(6)","noteIndex":0},"citationItems":[{"id":"KWzghzVS/YkPBoAQ2","uris":["http://zotero.org/users/5508055/items/2359C5SV"],"itemData":{"id":1230,"type":"article-journal","abstract":"OBJECTIVES: To assess the effect of rituximab (RTX) on the lung function parameters in SSc interstitial lung disease (SSc-ILD) patients.\nMETHODS: PubMed and Embase were searched to identify studies on SSc-ILD treated with RTX, confined to a predefined inclusion and exclusion criteria. A systematic review and meta-analysis were performed on the included studies on changes in forced vital capacity (FVC) and diffusion capacity of carbon monoxide (DLCO) from baseline to 6 and 12 months of follow-up.\nRESULTS: A total of 20 studies (2 randomized controlled trials, 6 prospective studies, 5 retrospective studies and 7 conference abstracts) were included (n = 575). RTX improved FVC from baseline by 4.49% (95% CI 0.25, 8.73) at 6 months and by 7.03% (95% CI 4.37, 9.7) at 12 months. Similarly, RTX improved DLCO by 3.47% (95% CI 0.99, 5.96) at 6 months and 4.08% (95% CI 1.51, 6.65) at 12 months. In the two studies comparing RTX with other immunosuppressants, improvement of FVC by 6 months in the RTX group was 1.03% (95% CI 0.11, 1.94) greater than controls. At the 12 month follow-up, RTX treatment was similar to controls in terms of both FVC and DLCO. Patients treated with RTX had a lower chance of developing infections compared with controls [odds ratio 0.256 (95% CI 0.104, 0.626), I2 = 0%, P = 0.47).\nCONCLUSIONS: Treatment with RTX in SSc-ILD was associated with a significant improvement of both FVC and DLCO during the first year of treatment. RTX use was associated with lower infectious adverse events.","container-title":"Rheumatology (Oxford, England)","DOI":"10.1093/rheumatology/keaa550","ISSN":"1462-0332","issue":"2","journalAbbreviation":"Rheumatology (Oxford)","language":"eng","note":"PMID: 33164098","page":"557-567","source":"PubMed","title":"Rituximab in the treatment of systemic sclerosis-related interstitial lung disease: a systematic review and meta-analysis","title-short":"Rituximab in the treatment of systemic sclerosis-related interstitial lung disease","volume":"60","author":[{"family":"Goswami","given":"Rudra P."},{"family":"Ray","given":"Animesh"},{"family":"Chatterjee","given":"Moumita"},{"family":"Mukherjee","given":"Arindam"},{"family":"Sircar","given":"Geetabali"},{"family":"Ghosh","given":"Parasar"}],"issued":{"date-parts":[["2021",2,1]]}}}],"schema":"https://github.com/citation-style-language/schema/raw/master/csl-citation.json"} </w:instrText>
      </w:r>
      <w:r w:rsidR="004A4011">
        <w:rPr>
          <w:sz w:val="24"/>
          <w:szCs w:val="24"/>
        </w:rPr>
        <w:fldChar w:fldCharType="separate"/>
      </w:r>
      <w:r w:rsidR="004A4011" w:rsidRPr="004A4011">
        <w:rPr>
          <w:sz w:val="24"/>
        </w:rPr>
        <w:t>(6)</w:t>
      </w:r>
      <w:r w:rsidR="004A4011">
        <w:rPr>
          <w:sz w:val="24"/>
          <w:szCs w:val="24"/>
        </w:rPr>
        <w:fldChar w:fldCharType="end"/>
      </w:r>
      <w:r w:rsidR="00706286">
        <w:rPr>
          <w:sz w:val="24"/>
          <w:szCs w:val="24"/>
        </w:rPr>
        <w:t xml:space="preserve"> </w:t>
      </w:r>
    </w:p>
    <w:p w14:paraId="7F9FB63F" w14:textId="77777777" w:rsidR="008B7966" w:rsidRPr="00CB5377" w:rsidRDefault="008B7966" w:rsidP="00370130">
      <w:pPr>
        <w:tabs>
          <w:tab w:val="left" w:pos="1297"/>
        </w:tabs>
        <w:jc w:val="both"/>
        <w:rPr>
          <w:sz w:val="24"/>
          <w:szCs w:val="24"/>
        </w:rPr>
      </w:pPr>
    </w:p>
    <w:p w14:paraId="68BD7868" w14:textId="0DCF3F05" w:rsidR="008B7966" w:rsidRDefault="005F4A5C" w:rsidP="00370130">
      <w:pPr>
        <w:tabs>
          <w:tab w:val="left" w:pos="1297"/>
        </w:tabs>
        <w:jc w:val="both"/>
        <w:rPr>
          <w:sz w:val="24"/>
          <w:szCs w:val="24"/>
        </w:rPr>
      </w:pPr>
      <w:r>
        <w:rPr>
          <w:sz w:val="24"/>
          <w:szCs w:val="24"/>
        </w:rPr>
        <w:t xml:space="preserve">L’association MMF/RTX </w:t>
      </w:r>
      <w:r w:rsidR="00C748C5">
        <w:rPr>
          <w:sz w:val="24"/>
          <w:szCs w:val="24"/>
        </w:rPr>
        <w:t xml:space="preserve">a </w:t>
      </w:r>
      <w:r>
        <w:rPr>
          <w:sz w:val="24"/>
          <w:szCs w:val="24"/>
        </w:rPr>
        <w:t xml:space="preserve">été </w:t>
      </w:r>
      <w:r w:rsidR="00E47599">
        <w:rPr>
          <w:sz w:val="24"/>
          <w:szCs w:val="24"/>
        </w:rPr>
        <w:t xml:space="preserve">rapportée et </w:t>
      </w:r>
      <w:r>
        <w:rPr>
          <w:sz w:val="24"/>
          <w:szCs w:val="24"/>
        </w:rPr>
        <w:t>évalué</w:t>
      </w:r>
      <w:r w:rsidR="00E47599">
        <w:rPr>
          <w:sz w:val="24"/>
          <w:szCs w:val="24"/>
        </w:rPr>
        <w:t>e</w:t>
      </w:r>
      <w:r>
        <w:rPr>
          <w:sz w:val="24"/>
          <w:szCs w:val="24"/>
        </w:rPr>
        <w:t xml:space="preserve"> une première fois</w:t>
      </w:r>
      <w:r w:rsidR="00C748C5">
        <w:rPr>
          <w:sz w:val="24"/>
          <w:szCs w:val="24"/>
        </w:rPr>
        <w:t xml:space="preserve"> dans une étude monocentrique non contrôlée à 12 mois </w:t>
      </w:r>
      <w:r>
        <w:rPr>
          <w:sz w:val="24"/>
          <w:szCs w:val="24"/>
        </w:rPr>
        <w:t xml:space="preserve">et </w:t>
      </w:r>
      <w:r w:rsidR="00E47599">
        <w:rPr>
          <w:sz w:val="24"/>
          <w:szCs w:val="24"/>
        </w:rPr>
        <w:t xml:space="preserve">a </w:t>
      </w:r>
      <w:r>
        <w:rPr>
          <w:sz w:val="24"/>
          <w:szCs w:val="24"/>
        </w:rPr>
        <w:t xml:space="preserve">montré des résultats encourageant </w:t>
      </w:r>
      <w:r w:rsidR="00C748C5">
        <w:rPr>
          <w:sz w:val="24"/>
          <w:szCs w:val="24"/>
        </w:rPr>
        <w:t>tant sur l’amélioration des atteintes cutanées et pulmonaires que sur les données de tolérance.</w:t>
      </w:r>
      <w:r w:rsidR="006F7CA2">
        <w:rPr>
          <w:sz w:val="24"/>
          <w:szCs w:val="24"/>
        </w:rPr>
        <w:t xml:space="preserve"> </w:t>
      </w:r>
      <w:r w:rsidR="004A4011">
        <w:rPr>
          <w:sz w:val="24"/>
          <w:szCs w:val="24"/>
        </w:rPr>
        <w:fldChar w:fldCharType="begin"/>
      </w:r>
      <w:r w:rsidR="00CF74EF">
        <w:rPr>
          <w:sz w:val="24"/>
          <w:szCs w:val="24"/>
        </w:rPr>
        <w:instrText xml:space="preserve"> ADDIN ZOTERO_ITEM CSL_CITATION {"citationID":"SeTaCcvg","properties":{"formattedCitation":"(7)","plainCitation":"(7)","noteIndex":0},"citationItems":[{"id":"KWzghzVS/1m24KADv","uris":["http://zotero.org/users/5508055/items/84R5L7LK"],"itemData":{"id":1232,"type":"article-journal","abstract":"OBJECTIVES: To describe a single centre experience using combination therapy with rituximab (RTX) and mycophenolate mofetil (MMF) in a prospective series of systemic sclerosis (SSc) patients with pulmonary and cutaneous involvement, rapidly progressive or resistant to conventional therapy.\nMETHODS: RTX was administered in two different regimens (1000 mg fortnightly x 2 or 375 mg/m2/week for 4 consecutive weeks) at baseline and after 6 months, associated with MMF 2000 mg/day continuously. Cutaneous fibrosis was evaluated assessing modified Rodnan Skin Score (mRSS) and pulmonary involvement was evaluated performing pulmonary function tests, diffusing lung capacity for carbon monoxide and chest high-resolution computed tomography (HRCT). The radiological extension of the interstitial lung disease (ILD) at HRCT, was assessed with the conventional visual reader-based score (CoVR) and with a computerised-aided method (CaM) using a DICOM soft- ware.\nRESULTS: Eighteen SSc patients underwent combination therapy (F/M: 10/8, median age 51 years, median duration of disease 27 months). Data from fifteen patients were available at 12-month follow-up. The mRSS showed a significant improvement; a significant increase in forced vital capacity and forced expiratory volume in the first second were also observed. In addition, a signi cant reduction of the extension of ILD was detected when evaluated with CaM. No serious adverse events were observed during the follow-up period.\nCONCLUSIONS: Despite preliminary results and limited to a small number of patients, our data suggest that therapy with RTX and MMF is well tolerated, safe, and potentially effective for cutaneous and pulmonary involvement in SSc.","container-title":"Clinical and Experimental Rheumatology","ISSN":"0392-856X","issue":"4","journalAbbreviation":"Clin Exp Rheumatol","language":"eng","note":"PMID: 30277864","page":"142-145","source":"PubMed","title":"Combination therapy with rituximab and mycophenolate mofetil in systemic sclerosis. A single-centre case series study","volume":"36 Suppl 113","author":[{"family":"Fraticelli","given":"Paolo"},{"family":"Fischetti","given":"Colomba"},{"family":"Salaffi","given":"Fausto"},{"family":"Carotti","given":"Marina"},{"family":"Mattioli","given":"Massimo"},{"family":"Pomponio","given":"Giovanni"},{"family":"Gabrielli","given":"Armando"}],"issued":{"date-parts":[["2018"]]}}}],"schema":"https://github.com/citation-style-language/schema/raw/master/csl-citation.json"} </w:instrText>
      </w:r>
      <w:r w:rsidR="004A4011">
        <w:rPr>
          <w:sz w:val="24"/>
          <w:szCs w:val="24"/>
        </w:rPr>
        <w:fldChar w:fldCharType="separate"/>
      </w:r>
      <w:r w:rsidR="004A4011" w:rsidRPr="004A4011">
        <w:rPr>
          <w:sz w:val="24"/>
        </w:rPr>
        <w:t>(7)</w:t>
      </w:r>
      <w:r w:rsidR="004A4011">
        <w:rPr>
          <w:sz w:val="24"/>
          <w:szCs w:val="24"/>
        </w:rPr>
        <w:fldChar w:fldCharType="end"/>
      </w:r>
      <w:r>
        <w:rPr>
          <w:sz w:val="24"/>
          <w:szCs w:val="24"/>
        </w:rPr>
        <w:t xml:space="preserve"> Nous faisons ici l’hypothèse d’une meilleure efficacité et d’une bonne tolérance de cette association dans la </w:t>
      </w:r>
      <w:proofErr w:type="spellStart"/>
      <w:r>
        <w:rPr>
          <w:sz w:val="24"/>
          <w:szCs w:val="24"/>
        </w:rPr>
        <w:t>SSc</w:t>
      </w:r>
      <w:proofErr w:type="spellEnd"/>
      <w:r w:rsidR="00E47599">
        <w:rPr>
          <w:sz w:val="24"/>
          <w:szCs w:val="24"/>
        </w:rPr>
        <w:t xml:space="preserve"> afin de confirmer cette première étude</w:t>
      </w:r>
      <w:r>
        <w:rPr>
          <w:sz w:val="24"/>
          <w:szCs w:val="24"/>
        </w:rPr>
        <w:t>.</w:t>
      </w:r>
    </w:p>
    <w:p w14:paraId="56C7437B" w14:textId="77777777" w:rsidR="008C4968" w:rsidRPr="00A24D60" w:rsidRDefault="008C4968" w:rsidP="00370130">
      <w:pPr>
        <w:tabs>
          <w:tab w:val="left" w:pos="1297"/>
        </w:tabs>
        <w:jc w:val="both"/>
        <w:rPr>
          <w:bCs/>
          <w:sz w:val="24"/>
        </w:rPr>
      </w:pPr>
    </w:p>
    <w:p w14:paraId="6F692EE8" w14:textId="048A94B9" w:rsidR="00850C85" w:rsidRPr="008C4968" w:rsidRDefault="00000000" w:rsidP="008C4968">
      <w:pPr>
        <w:pStyle w:val="Paragraphedeliste"/>
        <w:numPr>
          <w:ilvl w:val="1"/>
          <w:numId w:val="1"/>
        </w:numPr>
        <w:tabs>
          <w:tab w:val="left" w:pos="1297"/>
        </w:tabs>
        <w:ind w:right="211"/>
        <w:rPr>
          <w:b/>
          <w:sz w:val="24"/>
        </w:rPr>
      </w:pPr>
      <w:r w:rsidRPr="005F4A5C">
        <w:rPr>
          <w:b/>
          <w:sz w:val="24"/>
        </w:rPr>
        <w:t>Méthodes</w:t>
      </w:r>
      <w:r w:rsidRPr="005F4A5C">
        <w:rPr>
          <w:b/>
          <w:spacing w:val="1"/>
          <w:sz w:val="24"/>
        </w:rPr>
        <w:t xml:space="preserve"> </w:t>
      </w:r>
    </w:p>
    <w:p w14:paraId="1ADF05E3" w14:textId="658B0216" w:rsidR="005F4A5C" w:rsidRDefault="005F4A5C" w:rsidP="005F4A5C">
      <w:pPr>
        <w:rPr>
          <w:sz w:val="24"/>
          <w:szCs w:val="24"/>
        </w:rPr>
      </w:pPr>
      <w:r>
        <w:rPr>
          <w:sz w:val="24"/>
          <w:szCs w:val="24"/>
        </w:rPr>
        <w:lastRenderedPageBreak/>
        <w:t>Design d’étude :</w:t>
      </w:r>
    </w:p>
    <w:p w14:paraId="6FC95764" w14:textId="3D633926" w:rsidR="00E11D1C" w:rsidRPr="005641B1" w:rsidRDefault="00E11D1C" w:rsidP="005641B1">
      <w:pPr>
        <w:rPr>
          <w:sz w:val="24"/>
          <w:szCs w:val="24"/>
        </w:rPr>
      </w:pPr>
      <w:r w:rsidRPr="005641B1">
        <w:rPr>
          <w:sz w:val="24"/>
          <w:szCs w:val="24"/>
        </w:rPr>
        <w:t>Nous souhaitons réaliser une étude observationnelle nationale multicentrique</w:t>
      </w:r>
      <w:r w:rsidR="00BC19FD">
        <w:rPr>
          <w:sz w:val="24"/>
          <w:szCs w:val="24"/>
        </w:rPr>
        <w:t xml:space="preserve"> </w:t>
      </w:r>
      <w:r w:rsidRPr="005641B1">
        <w:rPr>
          <w:sz w:val="24"/>
          <w:szCs w:val="24"/>
        </w:rPr>
        <w:t xml:space="preserve">rétrospective </w:t>
      </w:r>
      <w:r w:rsidR="00643F44">
        <w:rPr>
          <w:sz w:val="24"/>
          <w:szCs w:val="24"/>
        </w:rPr>
        <w:t xml:space="preserve">et prospective </w:t>
      </w:r>
      <w:r w:rsidRPr="005641B1">
        <w:rPr>
          <w:sz w:val="24"/>
          <w:szCs w:val="24"/>
        </w:rPr>
        <w:t>en colligeant les informations disponibles dans le dossier des patients</w:t>
      </w:r>
      <w:r w:rsidR="00BC19FD">
        <w:rPr>
          <w:sz w:val="24"/>
          <w:szCs w:val="24"/>
        </w:rPr>
        <w:t xml:space="preserve"> </w:t>
      </w:r>
      <w:r w:rsidR="000961AB" w:rsidRPr="005641B1">
        <w:rPr>
          <w:sz w:val="24"/>
          <w:szCs w:val="24"/>
        </w:rPr>
        <w:t>traités par RTX et/ou MMF</w:t>
      </w:r>
      <w:r w:rsidRPr="005641B1">
        <w:rPr>
          <w:sz w:val="24"/>
          <w:szCs w:val="24"/>
        </w:rPr>
        <w:t xml:space="preserve"> seule au sein des services hospitaliers français dans une</w:t>
      </w:r>
      <w:r w:rsidR="00BC19FD">
        <w:rPr>
          <w:sz w:val="24"/>
          <w:szCs w:val="24"/>
        </w:rPr>
        <w:t xml:space="preserve"> </w:t>
      </w:r>
      <w:r w:rsidRPr="005641B1">
        <w:rPr>
          <w:sz w:val="24"/>
          <w:szCs w:val="24"/>
        </w:rPr>
        <w:t>base de données sécurisée et anonymisée</w:t>
      </w:r>
      <w:r w:rsidR="000961AB" w:rsidRPr="005641B1">
        <w:rPr>
          <w:sz w:val="24"/>
          <w:szCs w:val="24"/>
        </w:rPr>
        <w:t>.</w:t>
      </w:r>
    </w:p>
    <w:p w14:paraId="1219897E" w14:textId="6459B5D8" w:rsidR="00B82720" w:rsidRDefault="00B82720" w:rsidP="00BC19FD">
      <w:pPr>
        <w:tabs>
          <w:tab w:val="left" w:pos="1297"/>
        </w:tabs>
        <w:ind w:right="211"/>
        <w:rPr>
          <w:bCs/>
          <w:sz w:val="24"/>
          <w:szCs w:val="24"/>
        </w:rPr>
      </w:pPr>
    </w:p>
    <w:p w14:paraId="757ABE49" w14:textId="7AA47496" w:rsidR="00BC19FD" w:rsidRDefault="00A96E22" w:rsidP="00BC19FD">
      <w:pPr>
        <w:tabs>
          <w:tab w:val="left" w:pos="1297"/>
        </w:tabs>
        <w:ind w:right="211"/>
        <w:rPr>
          <w:bCs/>
          <w:sz w:val="24"/>
          <w:szCs w:val="24"/>
        </w:rPr>
      </w:pPr>
      <w:r w:rsidRPr="005641B1">
        <w:rPr>
          <w:bCs/>
          <w:sz w:val="24"/>
          <w:szCs w:val="24"/>
        </w:rPr>
        <w:t>Critères d’inclusions :</w:t>
      </w:r>
      <w:r w:rsidR="00BC19FD">
        <w:rPr>
          <w:bCs/>
          <w:sz w:val="24"/>
          <w:szCs w:val="24"/>
        </w:rPr>
        <w:tab/>
      </w:r>
    </w:p>
    <w:p w14:paraId="54F555C3" w14:textId="1FD62326" w:rsidR="000961AB" w:rsidRPr="00BC19FD" w:rsidRDefault="00E11D1C" w:rsidP="005641B1">
      <w:pPr>
        <w:pStyle w:val="Paragraphedeliste"/>
        <w:numPr>
          <w:ilvl w:val="0"/>
          <w:numId w:val="2"/>
        </w:numPr>
      </w:pPr>
      <w:r w:rsidRPr="005641B1">
        <w:rPr>
          <w:sz w:val="24"/>
          <w:szCs w:val="24"/>
        </w:rPr>
        <w:t xml:space="preserve">Diagnostic de </w:t>
      </w:r>
      <w:proofErr w:type="spellStart"/>
      <w:r w:rsidRPr="005641B1">
        <w:rPr>
          <w:sz w:val="24"/>
          <w:szCs w:val="24"/>
        </w:rPr>
        <w:t>ScS</w:t>
      </w:r>
      <w:proofErr w:type="spellEnd"/>
      <w:r w:rsidRPr="005641B1">
        <w:rPr>
          <w:sz w:val="24"/>
          <w:szCs w:val="24"/>
        </w:rPr>
        <w:t xml:space="preserve"> selon les critères de classification ACR/EULAR 2013 </w:t>
      </w:r>
      <w:r w:rsidRPr="005641B1">
        <w:rPr>
          <w:sz w:val="24"/>
          <w:szCs w:val="24"/>
        </w:rPr>
        <w:fldChar w:fldCharType="begin"/>
      </w:r>
      <w:r w:rsidR="00CF74EF">
        <w:rPr>
          <w:sz w:val="24"/>
          <w:szCs w:val="24"/>
        </w:rPr>
        <w:instrText xml:space="preserve"> ADDIN ZOTERO_ITEM CSL_CITATION {"citationID":"hdBz7RIF","properties":{"formattedCitation":"(8)","plainCitation":"(8)","noteIndex":0},"citationItems":[{"id":"KWzghzVS/1sYOJP31","uris":["http://zotero.org/users/5607412/items/NSS3RGYV"],"itemData":{"id":1227,"type":"article-journal","container-title":"Arthritis &amp; Rheumatism","DOI":"10.1002/art.38098","ISSN":"00043591","issue":"11","language":"en","note":"number: 11","page":"2737-2747","source":"Crossref","title":"2013 Classification Criteria for Systemic Sclerosis: An American College of Rheumatology/European League Against Rheumatism Collaborative Initiative: ACR/EULAR Classification Criteria for SSc","title-short":"2013 Classification Criteria for Systemic Sclerosis","volume":"65","author":[{"family":"Hoogen","given":"Frank","non-dropping-particle":"van den"},{"family":"Khanna","given":"Dinesh"},{"family":"Fransen","given":"Jaap"},{"family":"Johnson","given":"Sindhu R."},{"family":"Baron","given":"Murray"},{"family":"Tyndall","given":"Alan"},{"family":"Matucci-Cerinic","given":"Marco"},{"family":"Naden","given":"Raymond P."},{"family":"Medsger","given":"Thomas A."},{"family":"Carreira","given":"Patricia E."},{"family":"Riemekasten","given":"Gabriela"},{"family":"Clements","given":"Philip J."},{"family":"Denton","given":"Christopher P."},{"family":"Distler","given":"Oliver"},{"family":"Allanore","given":"Yannick"},{"family":"Furst","given":"Daniel E."},{"family":"Gabrielli","given":"Armando"},{"family":"Mayes","given":"Maureen D."},{"family":"Laar","given":"Jacob M.","non-dropping-particle":"van"},{"family":"Seibold","given":"James R."},{"family":"Czirjak","given":"Laszlo"},{"family":"Steen","given":"Virginia D."},{"family":"Inanc","given":"Murat"},{"family":"Kowal-Bielecka","given":"Otylia"},{"family":"Müller-Ladner","given":"Ulf"},{"family":"Valentini","given":"Gabriele"},{"family":"Veale","given":"Douglas J."},{"family":"Vonk","given":"Madelon C."},{"family":"Walker","given":"Ulrich A."},{"family":"Chung","given":"Lorinda"},{"family":"Collier","given":"David H."},{"family":"Csuka","given":"Mary Ellen"},{"family":"Fessler","given":"Barri J."},{"family":"Guiducci","given":"Serena"},{"family":"Herrick","given":"Ariane"},{"family":"Hsu","given":"Vivien M."},{"family":"Jimenez","given":"Sergio"},{"family":"Kahaleh","given":"Bashar"},{"family":"Merkel","given":"Peter A."},{"family":"Sierakowski","given":"Stanislav"},{"family":"Silver","given":"Richard M."},{"family":"Simms","given":"Robert W."},{"family":"Varga","given":"John"},{"family":"Pope","given":"Janet E."}],"issued":{"date-parts":[["2013",11]]}}}],"schema":"https://github.com/citation-style-language/schema/raw/master/csl-citation.json"} </w:instrText>
      </w:r>
      <w:r w:rsidRPr="005641B1">
        <w:rPr>
          <w:sz w:val="24"/>
          <w:szCs w:val="24"/>
        </w:rPr>
        <w:fldChar w:fldCharType="separate"/>
      </w:r>
      <w:r w:rsidR="00CF74EF">
        <w:rPr>
          <w:sz w:val="24"/>
          <w:szCs w:val="24"/>
        </w:rPr>
        <w:t>(8)</w:t>
      </w:r>
      <w:r w:rsidRPr="005641B1">
        <w:rPr>
          <w:sz w:val="24"/>
          <w:szCs w:val="24"/>
        </w:rPr>
        <w:fldChar w:fldCharType="end"/>
      </w:r>
    </w:p>
    <w:p w14:paraId="12215928" w14:textId="204D5060" w:rsidR="009A2235" w:rsidRPr="005641B1" w:rsidRDefault="009A2235" w:rsidP="005641B1">
      <w:pPr>
        <w:pStyle w:val="Paragraphedeliste"/>
        <w:numPr>
          <w:ilvl w:val="0"/>
          <w:numId w:val="2"/>
        </w:numPr>
        <w:rPr>
          <w:sz w:val="24"/>
          <w:szCs w:val="24"/>
        </w:rPr>
      </w:pPr>
      <w:r w:rsidRPr="005641B1">
        <w:rPr>
          <w:sz w:val="24"/>
          <w:szCs w:val="24"/>
        </w:rPr>
        <w:t xml:space="preserve">Patient ayant bénéficié d’un traitement par </w:t>
      </w:r>
      <w:r w:rsidR="00E11D1C" w:rsidRPr="005641B1">
        <w:rPr>
          <w:sz w:val="24"/>
          <w:szCs w:val="24"/>
        </w:rPr>
        <w:t xml:space="preserve">RTX </w:t>
      </w:r>
      <w:r w:rsidR="00B82720">
        <w:rPr>
          <w:sz w:val="24"/>
          <w:szCs w:val="24"/>
        </w:rPr>
        <w:t>avec ou sans</w:t>
      </w:r>
      <w:r w:rsidR="00E11D1C" w:rsidRPr="005641B1">
        <w:rPr>
          <w:sz w:val="24"/>
          <w:szCs w:val="24"/>
        </w:rPr>
        <w:t xml:space="preserve"> MMF</w:t>
      </w:r>
    </w:p>
    <w:p w14:paraId="70EC754A" w14:textId="60A2061E" w:rsidR="00380D6D" w:rsidRDefault="00E11D1C" w:rsidP="00B82720">
      <w:pPr>
        <w:pStyle w:val="Paragraphedeliste"/>
        <w:widowControl/>
        <w:numPr>
          <w:ilvl w:val="0"/>
          <w:numId w:val="2"/>
        </w:numPr>
        <w:autoSpaceDE/>
        <w:autoSpaceDN/>
        <w:spacing w:after="160"/>
        <w:contextualSpacing/>
        <w:jc w:val="left"/>
        <w:rPr>
          <w:sz w:val="24"/>
          <w:szCs w:val="24"/>
        </w:rPr>
      </w:pPr>
      <w:r w:rsidRPr="005641B1">
        <w:rPr>
          <w:sz w:val="24"/>
          <w:szCs w:val="24"/>
        </w:rPr>
        <w:t>Données de suivi disponibles à au moins 1 an post-</w:t>
      </w:r>
      <w:r w:rsidR="000961AB" w:rsidRPr="005641B1">
        <w:rPr>
          <w:sz w:val="24"/>
          <w:szCs w:val="24"/>
        </w:rPr>
        <w:t xml:space="preserve">introduction de traitement </w:t>
      </w:r>
    </w:p>
    <w:p w14:paraId="42D1A742" w14:textId="220377E6" w:rsidR="00B82720" w:rsidRPr="005641B1" w:rsidRDefault="00B82720" w:rsidP="00B82720">
      <w:pPr>
        <w:pStyle w:val="Paragraphedeliste"/>
        <w:widowControl/>
        <w:numPr>
          <w:ilvl w:val="0"/>
          <w:numId w:val="2"/>
        </w:numPr>
        <w:autoSpaceDE/>
        <w:autoSpaceDN/>
        <w:spacing w:after="160"/>
        <w:contextualSpacing/>
        <w:jc w:val="left"/>
        <w:rPr>
          <w:sz w:val="24"/>
          <w:szCs w:val="24"/>
        </w:rPr>
      </w:pPr>
      <w:r>
        <w:rPr>
          <w:sz w:val="24"/>
          <w:szCs w:val="24"/>
        </w:rPr>
        <w:t xml:space="preserve">Pour chaque patient inclus ayant reçu RTX ou RTX/MMF, un patient ayant reçu MMF, apparié par centre, type de </w:t>
      </w:r>
      <w:proofErr w:type="spellStart"/>
      <w:r>
        <w:rPr>
          <w:sz w:val="24"/>
          <w:szCs w:val="24"/>
        </w:rPr>
        <w:t>ScS</w:t>
      </w:r>
      <w:proofErr w:type="spellEnd"/>
      <w:r>
        <w:rPr>
          <w:sz w:val="24"/>
          <w:szCs w:val="24"/>
        </w:rPr>
        <w:t xml:space="preserve">, sexe et durée d’évolution de la </w:t>
      </w:r>
      <w:proofErr w:type="spellStart"/>
      <w:r>
        <w:rPr>
          <w:sz w:val="24"/>
          <w:szCs w:val="24"/>
        </w:rPr>
        <w:t>ScS</w:t>
      </w:r>
      <w:proofErr w:type="spellEnd"/>
      <w:r>
        <w:rPr>
          <w:sz w:val="24"/>
          <w:szCs w:val="24"/>
        </w:rPr>
        <w:t xml:space="preserve"> sera nécessaire</w:t>
      </w:r>
    </w:p>
    <w:p w14:paraId="1024122E" w14:textId="77777777" w:rsidR="00E11D1C" w:rsidRPr="005641B1" w:rsidRDefault="00E11D1C" w:rsidP="005641B1">
      <w:pPr>
        <w:rPr>
          <w:sz w:val="24"/>
          <w:szCs w:val="24"/>
        </w:rPr>
      </w:pPr>
      <w:r w:rsidRPr="005641B1">
        <w:rPr>
          <w:sz w:val="24"/>
          <w:szCs w:val="24"/>
        </w:rPr>
        <w:t xml:space="preserve">Les critères de non inclusion sont les suivants : </w:t>
      </w:r>
    </w:p>
    <w:p w14:paraId="52DA257C" w14:textId="3793FFCD" w:rsidR="00E11D1C" w:rsidRPr="005641B1" w:rsidRDefault="00E11D1C" w:rsidP="005641B1">
      <w:pPr>
        <w:pStyle w:val="Paragraphedeliste"/>
        <w:widowControl/>
        <w:numPr>
          <w:ilvl w:val="0"/>
          <w:numId w:val="2"/>
        </w:numPr>
        <w:autoSpaceDE/>
        <w:autoSpaceDN/>
        <w:spacing w:after="160"/>
        <w:contextualSpacing/>
        <w:jc w:val="left"/>
        <w:rPr>
          <w:sz w:val="24"/>
          <w:szCs w:val="24"/>
        </w:rPr>
      </w:pPr>
      <w:r w:rsidRPr="005641B1">
        <w:rPr>
          <w:sz w:val="24"/>
          <w:szCs w:val="24"/>
        </w:rPr>
        <w:t xml:space="preserve">Patients atteints de sclérodermie localisée ou de maladie </w:t>
      </w:r>
      <w:proofErr w:type="spellStart"/>
      <w:r w:rsidRPr="005641B1">
        <w:rPr>
          <w:sz w:val="24"/>
          <w:szCs w:val="24"/>
        </w:rPr>
        <w:t>sclérodermiforme</w:t>
      </w:r>
      <w:proofErr w:type="spellEnd"/>
    </w:p>
    <w:p w14:paraId="43C93C35" w14:textId="4626D139" w:rsidR="000961AB" w:rsidRPr="005641B1" w:rsidRDefault="000961AB" w:rsidP="005641B1">
      <w:pPr>
        <w:pStyle w:val="Paragraphedeliste"/>
        <w:widowControl/>
        <w:numPr>
          <w:ilvl w:val="0"/>
          <w:numId w:val="2"/>
        </w:numPr>
        <w:autoSpaceDE/>
        <w:autoSpaceDN/>
        <w:spacing w:after="160"/>
        <w:contextualSpacing/>
        <w:jc w:val="left"/>
        <w:rPr>
          <w:sz w:val="24"/>
          <w:szCs w:val="24"/>
        </w:rPr>
      </w:pPr>
      <w:r w:rsidRPr="005641B1">
        <w:rPr>
          <w:sz w:val="24"/>
          <w:szCs w:val="24"/>
        </w:rPr>
        <w:t>Patients non traités par RTX et/ou MMF</w:t>
      </w:r>
    </w:p>
    <w:p w14:paraId="5DD32F75" w14:textId="77777777" w:rsidR="00E11D1C" w:rsidRPr="005641B1" w:rsidRDefault="00E11D1C" w:rsidP="005641B1">
      <w:pPr>
        <w:pStyle w:val="Paragraphedeliste"/>
        <w:widowControl/>
        <w:numPr>
          <w:ilvl w:val="0"/>
          <w:numId w:val="2"/>
        </w:numPr>
        <w:autoSpaceDE/>
        <w:autoSpaceDN/>
        <w:spacing w:after="160"/>
        <w:contextualSpacing/>
        <w:jc w:val="left"/>
        <w:rPr>
          <w:sz w:val="24"/>
          <w:szCs w:val="24"/>
        </w:rPr>
      </w:pPr>
      <w:r w:rsidRPr="005641B1">
        <w:rPr>
          <w:sz w:val="24"/>
          <w:szCs w:val="24"/>
        </w:rPr>
        <w:t>Données manquantes trop importantes</w:t>
      </w:r>
    </w:p>
    <w:p w14:paraId="51919911" w14:textId="670B2B4B" w:rsidR="00A96E22" w:rsidRPr="005641B1" w:rsidRDefault="00A96E22" w:rsidP="005641B1">
      <w:pPr>
        <w:tabs>
          <w:tab w:val="left" w:pos="1297"/>
        </w:tabs>
        <w:ind w:right="211"/>
        <w:rPr>
          <w:bCs/>
          <w:sz w:val="24"/>
          <w:szCs w:val="24"/>
        </w:rPr>
      </w:pPr>
      <w:r w:rsidRPr="005641B1">
        <w:rPr>
          <w:bCs/>
          <w:sz w:val="24"/>
          <w:szCs w:val="24"/>
        </w:rPr>
        <w:t>Les données nécessaires à collecter sont</w:t>
      </w:r>
      <w:r w:rsidR="000961AB" w:rsidRPr="005641B1">
        <w:rPr>
          <w:bCs/>
          <w:sz w:val="24"/>
          <w:szCs w:val="24"/>
        </w:rPr>
        <w:t> </w:t>
      </w:r>
      <w:r w:rsidRPr="005641B1">
        <w:rPr>
          <w:bCs/>
          <w:sz w:val="24"/>
          <w:szCs w:val="24"/>
        </w:rPr>
        <w:t xml:space="preserve">: </w:t>
      </w:r>
    </w:p>
    <w:p w14:paraId="0FB8669F" w14:textId="447C9297" w:rsidR="00E11D1C" w:rsidRPr="005641B1" w:rsidRDefault="00E11D1C" w:rsidP="005641B1">
      <w:pPr>
        <w:pStyle w:val="Paragraphedeliste"/>
        <w:widowControl/>
        <w:numPr>
          <w:ilvl w:val="0"/>
          <w:numId w:val="2"/>
        </w:numPr>
        <w:autoSpaceDE/>
        <w:autoSpaceDN/>
        <w:spacing w:after="160"/>
        <w:contextualSpacing/>
        <w:rPr>
          <w:sz w:val="24"/>
          <w:szCs w:val="24"/>
        </w:rPr>
      </w:pPr>
      <w:r w:rsidRPr="005641B1">
        <w:rPr>
          <w:sz w:val="24"/>
          <w:szCs w:val="24"/>
        </w:rPr>
        <w:t xml:space="preserve">Caractéristiques de la </w:t>
      </w:r>
      <w:proofErr w:type="spellStart"/>
      <w:r w:rsidRPr="005641B1">
        <w:rPr>
          <w:sz w:val="24"/>
          <w:szCs w:val="24"/>
        </w:rPr>
        <w:t>ScS</w:t>
      </w:r>
      <w:proofErr w:type="spellEnd"/>
      <w:r w:rsidR="000961AB" w:rsidRPr="005641B1">
        <w:rPr>
          <w:sz w:val="24"/>
          <w:szCs w:val="24"/>
        </w:rPr>
        <w:t> </w:t>
      </w:r>
      <w:r w:rsidRPr="005641B1">
        <w:rPr>
          <w:sz w:val="24"/>
          <w:szCs w:val="24"/>
        </w:rPr>
        <w:t xml:space="preserve">: démographie, antécédents, phénotype </w:t>
      </w:r>
      <w:proofErr w:type="spellStart"/>
      <w:r w:rsidRPr="005641B1">
        <w:rPr>
          <w:sz w:val="24"/>
          <w:szCs w:val="24"/>
        </w:rPr>
        <w:t>clinico</w:t>
      </w:r>
      <w:proofErr w:type="spellEnd"/>
      <w:r w:rsidRPr="005641B1">
        <w:rPr>
          <w:sz w:val="24"/>
          <w:szCs w:val="24"/>
        </w:rPr>
        <w:t xml:space="preserve">-biologique, traitements reçus, </w:t>
      </w:r>
      <w:proofErr w:type="spellStart"/>
      <w:r w:rsidRPr="005641B1">
        <w:rPr>
          <w:sz w:val="24"/>
          <w:szCs w:val="24"/>
        </w:rPr>
        <w:t>etc</w:t>
      </w:r>
      <w:proofErr w:type="spellEnd"/>
      <w:r w:rsidRPr="005641B1">
        <w:rPr>
          <w:sz w:val="24"/>
          <w:szCs w:val="24"/>
        </w:rPr>
        <w:t xml:space="preserve"> </w:t>
      </w:r>
    </w:p>
    <w:p w14:paraId="45F0EED8" w14:textId="4ED97F37" w:rsidR="00BC19FD" w:rsidRDefault="000961AB" w:rsidP="005F4A5C">
      <w:pPr>
        <w:pStyle w:val="Paragraphedeliste"/>
        <w:numPr>
          <w:ilvl w:val="0"/>
          <w:numId w:val="2"/>
        </w:numPr>
        <w:tabs>
          <w:tab w:val="left" w:pos="1297"/>
        </w:tabs>
        <w:ind w:right="211"/>
        <w:rPr>
          <w:bCs/>
          <w:sz w:val="24"/>
          <w:szCs w:val="24"/>
        </w:rPr>
      </w:pPr>
      <w:r w:rsidRPr="00BC19FD">
        <w:rPr>
          <w:bCs/>
          <w:sz w:val="24"/>
          <w:szCs w:val="24"/>
        </w:rPr>
        <w:t>Caractéristique du traitement</w:t>
      </w:r>
      <w:r w:rsidR="00BC19FD">
        <w:rPr>
          <w:bCs/>
          <w:sz w:val="24"/>
          <w:szCs w:val="24"/>
        </w:rPr>
        <w:t> : date d’introduction, dose et posologie du MMF et du RTX</w:t>
      </w:r>
    </w:p>
    <w:p w14:paraId="2C45066F" w14:textId="5E4DC016" w:rsidR="000961AB" w:rsidRPr="005641B1" w:rsidRDefault="000961AB" w:rsidP="005F4A5C">
      <w:pPr>
        <w:pStyle w:val="Paragraphedeliste"/>
        <w:numPr>
          <w:ilvl w:val="0"/>
          <w:numId w:val="2"/>
        </w:numPr>
        <w:tabs>
          <w:tab w:val="left" w:pos="1297"/>
        </w:tabs>
        <w:ind w:right="211"/>
        <w:rPr>
          <w:bCs/>
          <w:sz w:val="24"/>
          <w:szCs w:val="24"/>
        </w:rPr>
      </w:pPr>
      <w:r w:rsidRPr="005641B1">
        <w:rPr>
          <w:bCs/>
          <w:sz w:val="24"/>
          <w:szCs w:val="24"/>
        </w:rPr>
        <w:t>Données d’évolution</w:t>
      </w:r>
      <w:r w:rsidR="00BC19FD">
        <w:rPr>
          <w:bCs/>
          <w:sz w:val="24"/>
          <w:szCs w:val="24"/>
        </w:rPr>
        <w:t xml:space="preserve"> : </w:t>
      </w:r>
      <w:proofErr w:type="spellStart"/>
      <w:r w:rsidR="00BC19FD">
        <w:rPr>
          <w:bCs/>
          <w:sz w:val="24"/>
          <w:szCs w:val="24"/>
        </w:rPr>
        <w:t>mRSS</w:t>
      </w:r>
      <w:proofErr w:type="spellEnd"/>
      <w:r w:rsidR="00BC19FD">
        <w:rPr>
          <w:bCs/>
          <w:sz w:val="24"/>
          <w:szCs w:val="24"/>
        </w:rPr>
        <w:t xml:space="preserve">, CVF, survie à un an </w:t>
      </w:r>
    </w:p>
    <w:p w14:paraId="50D87DF6" w14:textId="49D54D2E" w:rsidR="000961AB" w:rsidRDefault="000961AB" w:rsidP="005F4A5C">
      <w:pPr>
        <w:pStyle w:val="Paragraphedeliste"/>
        <w:numPr>
          <w:ilvl w:val="0"/>
          <w:numId w:val="2"/>
        </w:numPr>
        <w:tabs>
          <w:tab w:val="left" w:pos="1297"/>
        </w:tabs>
        <w:ind w:right="211"/>
        <w:rPr>
          <w:bCs/>
          <w:sz w:val="24"/>
          <w:szCs w:val="24"/>
        </w:rPr>
      </w:pPr>
      <w:r w:rsidRPr="00BC19FD">
        <w:rPr>
          <w:bCs/>
          <w:sz w:val="24"/>
          <w:szCs w:val="24"/>
        </w:rPr>
        <w:t>Données de tolérance</w:t>
      </w:r>
      <w:r w:rsidR="00BC19FD">
        <w:rPr>
          <w:bCs/>
          <w:sz w:val="24"/>
          <w:szCs w:val="24"/>
        </w:rPr>
        <w:t xml:space="preserve"> : survenue d’infection, type d’infection, effets secondaires, taux de CRP, CD19, </w:t>
      </w:r>
      <w:proofErr w:type="spellStart"/>
      <w:r w:rsidR="00BC19FD">
        <w:rPr>
          <w:bCs/>
          <w:sz w:val="24"/>
          <w:szCs w:val="24"/>
        </w:rPr>
        <w:t>gam</w:t>
      </w:r>
      <w:r w:rsidR="0006329F">
        <w:rPr>
          <w:bCs/>
          <w:sz w:val="24"/>
          <w:szCs w:val="24"/>
        </w:rPr>
        <w:t>m</w:t>
      </w:r>
      <w:r w:rsidR="00BC19FD">
        <w:rPr>
          <w:bCs/>
          <w:sz w:val="24"/>
          <w:szCs w:val="24"/>
        </w:rPr>
        <w:t>aglobulinémie</w:t>
      </w:r>
      <w:proofErr w:type="spellEnd"/>
    </w:p>
    <w:p w14:paraId="5FB58691" w14:textId="77777777" w:rsidR="00BC19FD" w:rsidRPr="00BC19FD" w:rsidRDefault="00BC19FD" w:rsidP="005641B1">
      <w:pPr>
        <w:pStyle w:val="Paragraphedeliste"/>
        <w:tabs>
          <w:tab w:val="left" w:pos="1297"/>
        </w:tabs>
        <w:ind w:left="720" w:right="211" w:firstLine="0"/>
        <w:rPr>
          <w:bCs/>
          <w:sz w:val="24"/>
          <w:szCs w:val="24"/>
        </w:rPr>
      </w:pPr>
    </w:p>
    <w:p w14:paraId="2A5B34E4" w14:textId="0C47F977" w:rsidR="005F4A5C" w:rsidRPr="005641B1" w:rsidRDefault="00BC19FD" w:rsidP="005641B1">
      <w:pPr>
        <w:rPr>
          <w:bCs/>
          <w:sz w:val="24"/>
          <w:szCs w:val="24"/>
        </w:rPr>
      </w:pPr>
      <w:r w:rsidRPr="005641B1">
        <w:rPr>
          <w:bCs/>
          <w:sz w:val="24"/>
          <w:szCs w:val="24"/>
        </w:rPr>
        <w:t>A</w:t>
      </w:r>
      <w:r w:rsidR="004A4011" w:rsidRPr="005641B1">
        <w:t xml:space="preserve">nalyses statistiques : </w:t>
      </w:r>
    </w:p>
    <w:p w14:paraId="56EB6006" w14:textId="4F3A30F4" w:rsidR="005F4A5C" w:rsidRDefault="005F4A5C" w:rsidP="005F4A5C">
      <w:pPr>
        <w:pStyle w:val="Paragraphedeliste"/>
        <w:numPr>
          <w:ilvl w:val="0"/>
          <w:numId w:val="2"/>
        </w:numPr>
        <w:tabs>
          <w:tab w:val="left" w:pos="1297"/>
        </w:tabs>
        <w:ind w:right="211"/>
        <w:rPr>
          <w:bCs/>
          <w:sz w:val="24"/>
          <w:szCs w:val="24"/>
        </w:rPr>
      </w:pPr>
      <w:r>
        <w:rPr>
          <w:bCs/>
          <w:sz w:val="24"/>
          <w:szCs w:val="24"/>
        </w:rPr>
        <w:t>Analyse descriptive des patients traités par une association RTX/MMF</w:t>
      </w:r>
    </w:p>
    <w:p w14:paraId="2671B038" w14:textId="51E1A2AA" w:rsidR="00711B40" w:rsidRPr="00BC19FD" w:rsidRDefault="00380D6D" w:rsidP="005641B1">
      <w:pPr>
        <w:pStyle w:val="Paragraphedeliste"/>
        <w:numPr>
          <w:ilvl w:val="0"/>
          <w:numId w:val="2"/>
        </w:numPr>
        <w:tabs>
          <w:tab w:val="left" w:pos="1297"/>
        </w:tabs>
        <w:ind w:right="211"/>
        <w:rPr>
          <w:bCs/>
          <w:sz w:val="24"/>
          <w:szCs w:val="24"/>
        </w:rPr>
      </w:pPr>
      <w:r>
        <w:rPr>
          <w:bCs/>
          <w:sz w:val="24"/>
          <w:szCs w:val="24"/>
        </w:rPr>
        <w:t>Un a</w:t>
      </w:r>
      <w:r w:rsidR="00711B40" w:rsidRPr="00BC19FD">
        <w:rPr>
          <w:bCs/>
          <w:sz w:val="24"/>
          <w:szCs w:val="24"/>
        </w:rPr>
        <w:t>ppariement</w:t>
      </w:r>
      <w:r>
        <w:rPr>
          <w:bCs/>
          <w:sz w:val="24"/>
          <w:szCs w:val="24"/>
        </w:rPr>
        <w:t xml:space="preserve"> sur le </w:t>
      </w:r>
      <w:r w:rsidR="00711B40" w:rsidRPr="00BC19FD">
        <w:rPr>
          <w:bCs/>
          <w:sz w:val="24"/>
          <w:szCs w:val="24"/>
        </w:rPr>
        <w:t xml:space="preserve">sexe, </w:t>
      </w:r>
      <w:r>
        <w:rPr>
          <w:bCs/>
          <w:sz w:val="24"/>
          <w:szCs w:val="24"/>
        </w:rPr>
        <w:t xml:space="preserve">la </w:t>
      </w:r>
      <w:r w:rsidR="00711B40" w:rsidRPr="00BC19FD">
        <w:rPr>
          <w:bCs/>
          <w:sz w:val="24"/>
          <w:szCs w:val="24"/>
        </w:rPr>
        <w:t xml:space="preserve">durée d’évolution de la sclérodermie, </w:t>
      </w:r>
      <w:r>
        <w:rPr>
          <w:bCs/>
          <w:sz w:val="24"/>
          <w:szCs w:val="24"/>
        </w:rPr>
        <w:t xml:space="preserve">le </w:t>
      </w:r>
      <w:r w:rsidR="00711B40" w:rsidRPr="00BC19FD">
        <w:rPr>
          <w:bCs/>
          <w:sz w:val="24"/>
          <w:szCs w:val="24"/>
        </w:rPr>
        <w:t>type de sclérodermie</w:t>
      </w:r>
      <w:r w:rsidR="00B82720">
        <w:rPr>
          <w:bCs/>
          <w:sz w:val="24"/>
          <w:szCs w:val="24"/>
        </w:rPr>
        <w:t>, et le centre d’inclusion</w:t>
      </w:r>
      <w:r>
        <w:rPr>
          <w:bCs/>
          <w:sz w:val="24"/>
          <w:szCs w:val="24"/>
        </w:rPr>
        <w:t xml:space="preserve"> sera réalisé pour les patients du groupe MMF en monothérapie.</w:t>
      </w:r>
    </w:p>
    <w:p w14:paraId="73042AC0" w14:textId="3DB1F39F" w:rsidR="00711B40" w:rsidRPr="00BC19FD" w:rsidRDefault="00711B40" w:rsidP="005641B1">
      <w:pPr>
        <w:pStyle w:val="Paragraphedeliste"/>
        <w:numPr>
          <w:ilvl w:val="0"/>
          <w:numId w:val="2"/>
        </w:numPr>
        <w:tabs>
          <w:tab w:val="left" w:pos="1297"/>
        </w:tabs>
        <w:ind w:right="211"/>
        <w:rPr>
          <w:bCs/>
          <w:sz w:val="24"/>
          <w:szCs w:val="24"/>
        </w:rPr>
      </w:pPr>
      <w:r w:rsidRPr="00BC19FD">
        <w:rPr>
          <w:bCs/>
          <w:sz w:val="24"/>
          <w:szCs w:val="24"/>
        </w:rPr>
        <w:t>Description de la population à l’aide de mesure de position et de dispersion standard (moyenne et écart type ou médiane et intervalle interquartile en cas de distribution non normale pour les données quantitatives, effectifs et proportions pour les données qualitatives).</w:t>
      </w:r>
    </w:p>
    <w:p w14:paraId="38BF38C5" w14:textId="10D852EA" w:rsidR="00711B40" w:rsidRPr="00BC19FD" w:rsidRDefault="00380D6D" w:rsidP="005641B1">
      <w:pPr>
        <w:pStyle w:val="Paragraphedeliste"/>
        <w:numPr>
          <w:ilvl w:val="0"/>
          <w:numId w:val="2"/>
        </w:numPr>
        <w:tabs>
          <w:tab w:val="left" w:pos="1297"/>
        </w:tabs>
        <w:ind w:right="211"/>
        <w:rPr>
          <w:bCs/>
          <w:sz w:val="24"/>
          <w:szCs w:val="24"/>
        </w:rPr>
      </w:pPr>
      <w:r>
        <w:rPr>
          <w:bCs/>
          <w:sz w:val="24"/>
          <w:szCs w:val="24"/>
        </w:rPr>
        <w:t xml:space="preserve">Comparaison de la modification du </w:t>
      </w:r>
      <w:proofErr w:type="spellStart"/>
      <w:r>
        <w:rPr>
          <w:bCs/>
          <w:sz w:val="24"/>
          <w:szCs w:val="24"/>
        </w:rPr>
        <w:t>mRSS</w:t>
      </w:r>
      <w:proofErr w:type="spellEnd"/>
      <w:r>
        <w:rPr>
          <w:bCs/>
          <w:sz w:val="24"/>
          <w:szCs w:val="24"/>
        </w:rPr>
        <w:t xml:space="preserve"> et de la CVF entre les trois groupes.</w:t>
      </w:r>
    </w:p>
    <w:p w14:paraId="145B6AC0" w14:textId="117167AF" w:rsidR="00711B40" w:rsidRPr="00BC19FD" w:rsidRDefault="00711B40" w:rsidP="005641B1">
      <w:pPr>
        <w:pStyle w:val="Paragraphedeliste"/>
        <w:numPr>
          <w:ilvl w:val="0"/>
          <w:numId w:val="2"/>
        </w:numPr>
        <w:tabs>
          <w:tab w:val="left" w:pos="1297"/>
        </w:tabs>
        <w:ind w:right="211"/>
        <w:rPr>
          <w:bCs/>
          <w:sz w:val="24"/>
          <w:szCs w:val="24"/>
        </w:rPr>
      </w:pPr>
      <w:r w:rsidRPr="00BC19FD">
        <w:rPr>
          <w:bCs/>
          <w:sz w:val="24"/>
          <w:szCs w:val="24"/>
        </w:rPr>
        <w:t>Description et analyse des données de tolérance</w:t>
      </w:r>
    </w:p>
    <w:p w14:paraId="34E2B625" w14:textId="39070C36" w:rsidR="00380D6D" w:rsidRDefault="00380D6D" w:rsidP="005F4A5C">
      <w:pPr>
        <w:pStyle w:val="Paragraphedeliste"/>
        <w:numPr>
          <w:ilvl w:val="0"/>
          <w:numId w:val="2"/>
        </w:numPr>
        <w:rPr>
          <w:sz w:val="24"/>
          <w:szCs w:val="24"/>
        </w:rPr>
      </w:pPr>
      <w:r>
        <w:rPr>
          <w:sz w:val="24"/>
          <w:szCs w:val="24"/>
        </w:rPr>
        <w:t>Les s</w:t>
      </w:r>
      <w:r w:rsidR="00E11D1C" w:rsidRPr="005641B1">
        <w:rPr>
          <w:sz w:val="24"/>
          <w:szCs w:val="24"/>
        </w:rPr>
        <w:t>urvie</w:t>
      </w:r>
      <w:r w:rsidR="00CF74EF">
        <w:rPr>
          <w:sz w:val="24"/>
          <w:szCs w:val="24"/>
        </w:rPr>
        <w:t>s</w:t>
      </w:r>
      <w:r w:rsidR="00E11D1C" w:rsidRPr="005641B1">
        <w:rPr>
          <w:sz w:val="24"/>
          <w:szCs w:val="24"/>
        </w:rPr>
        <w:t xml:space="preserve"> </w:t>
      </w:r>
      <w:r w:rsidR="000030E6">
        <w:rPr>
          <w:sz w:val="24"/>
          <w:szCs w:val="24"/>
        </w:rPr>
        <w:t xml:space="preserve">(globales et sans progression) </w:t>
      </w:r>
      <w:r w:rsidR="00E11D1C" w:rsidRPr="005641B1">
        <w:rPr>
          <w:sz w:val="24"/>
          <w:szCs w:val="24"/>
        </w:rPr>
        <w:t>à 1 an de la cohorte ser</w:t>
      </w:r>
      <w:r>
        <w:rPr>
          <w:sz w:val="24"/>
          <w:szCs w:val="24"/>
        </w:rPr>
        <w:t>ont</w:t>
      </w:r>
      <w:r w:rsidR="00E11D1C" w:rsidRPr="005641B1">
        <w:rPr>
          <w:sz w:val="24"/>
          <w:szCs w:val="24"/>
        </w:rPr>
        <w:t xml:space="preserve"> établie</w:t>
      </w:r>
      <w:r>
        <w:rPr>
          <w:sz w:val="24"/>
          <w:szCs w:val="24"/>
        </w:rPr>
        <w:t>s</w:t>
      </w:r>
      <w:r w:rsidR="00E11D1C" w:rsidRPr="005641B1">
        <w:rPr>
          <w:sz w:val="24"/>
          <w:szCs w:val="24"/>
        </w:rPr>
        <w:t xml:space="preserve"> via courbe</w:t>
      </w:r>
      <w:r>
        <w:rPr>
          <w:sz w:val="24"/>
          <w:szCs w:val="24"/>
        </w:rPr>
        <w:t>s</w:t>
      </w:r>
      <w:r w:rsidR="00E11D1C" w:rsidRPr="005641B1">
        <w:rPr>
          <w:sz w:val="24"/>
          <w:szCs w:val="24"/>
        </w:rPr>
        <w:t xml:space="preserve"> de Kaplan-Meier et comparé par test du log-</w:t>
      </w:r>
      <w:proofErr w:type="spellStart"/>
      <w:r w:rsidR="00E11D1C" w:rsidRPr="005641B1">
        <w:rPr>
          <w:sz w:val="24"/>
          <w:szCs w:val="24"/>
        </w:rPr>
        <w:t>rank</w:t>
      </w:r>
      <w:proofErr w:type="spellEnd"/>
      <w:r w:rsidR="00E11D1C" w:rsidRPr="005641B1">
        <w:rPr>
          <w:sz w:val="24"/>
          <w:szCs w:val="24"/>
        </w:rPr>
        <w:t xml:space="preserve">. </w:t>
      </w:r>
    </w:p>
    <w:p w14:paraId="193B87DE" w14:textId="77777777" w:rsidR="00380D6D" w:rsidRDefault="00380D6D" w:rsidP="006D22F5">
      <w:pPr>
        <w:pStyle w:val="Paragraphedeliste"/>
        <w:ind w:left="720" w:firstLine="0"/>
        <w:rPr>
          <w:sz w:val="24"/>
          <w:szCs w:val="24"/>
        </w:rPr>
      </w:pPr>
    </w:p>
    <w:p w14:paraId="46A3719A" w14:textId="6DCE4087" w:rsidR="00E11D1C" w:rsidRPr="005641B1" w:rsidRDefault="00E11D1C" w:rsidP="005641B1">
      <w:pPr>
        <w:pStyle w:val="Paragraphedeliste"/>
        <w:numPr>
          <w:ilvl w:val="0"/>
          <w:numId w:val="2"/>
        </w:numPr>
        <w:rPr>
          <w:sz w:val="24"/>
          <w:szCs w:val="24"/>
        </w:rPr>
      </w:pPr>
      <w:r w:rsidRPr="005641B1">
        <w:rPr>
          <w:sz w:val="24"/>
          <w:szCs w:val="24"/>
        </w:rPr>
        <w:t xml:space="preserve">Cette étude </w:t>
      </w:r>
      <w:r w:rsidR="003940B9">
        <w:rPr>
          <w:sz w:val="24"/>
          <w:szCs w:val="24"/>
        </w:rPr>
        <w:t>a été approuvée par le</w:t>
      </w:r>
      <w:r w:rsidRPr="005641B1">
        <w:rPr>
          <w:sz w:val="24"/>
          <w:szCs w:val="24"/>
        </w:rPr>
        <w:t xml:space="preserve"> comité d’éthique de</w:t>
      </w:r>
      <w:r w:rsidR="000961AB" w:rsidRPr="005641B1">
        <w:rPr>
          <w:sz w:val="24"/>
          <w:szCs w:val="24"/>
        </w:rPr>
        <w:t xml:space="preserve"> l’hôpital Cochin</w:t>
      </w:r>
    </w:p>
    <w:p w14:paraId="13CF6A2B" w14:textId="5D97F99D" w:rsidR="00711B40" w:rsidRPr="00BC19FD" w:rsidRDefault="00711B40" w:rsidP="00370130">
      <w:pPr>
        <w:tabs>
          <w:tab w:val="left" w:pos="1297"/>
        </w:tabs>
        <w:ind w:left="1080" w:right="211"/>
        <w:jc w:val="both"/>
        <w:rPr>
          <w:bCs/>
          <w:sz w:val="24"/>
          <w:szCs w:val="24"/>
        </w:rPr>
      </w:pPr>
    </w:p>
    <w:p w14:paraId="2B4C7F94" w14:textId="5CC92DD9" w:rsidR="00BF7A96" w:rsidRPr="00BC19FD" w:rsidRDefault="00000000" w:rsidP="00370130">
      <w:pPr>
        <w:pStyle w:val="Paragraphedeliste"/>
        <w:numPr>
          <w:ilvl w:val="1"/>
          <w:numId w:val="1"/>
        </w:numPr>
        <w:tabs>
          <w:tab w:val="left" w:pos="1297"/>
        </w:tabs>
        <w:ind w:hanging="721"/>
        <w:rPr>
          <w:b/>
          <w:sz w:val="24"/>
          <w:szCs w:val="24"/>
        </w:rPr>
      </w:pPr>
      <w:r w:rsidRPr="00BC19FD">
        <w:rPr>
          <w:b/>
          <w:sz w:val="24"/>
          <w:szCs w:val="24"/>
        </w:rPr>
        <w:t>Résultats</w:t>
      </w:r>
      <w:r w:rsidRPr="00BC19FD">
        <w:rPr>
          <w:b/>
          <w:spacing w:val="-3"/>
          <w:sz w:val="24"/>
          <w:szCs w:val="24"/>
        </w:rPr>
        <w:t xml:space="preserve"> </w:t>
      </w:r>
      <w:r w:rsidRPr="00BC19FD">
        <w:rPr>
          <w:b/>
          <w:sz w:val="24"/>
          <w:szCs w:val="24"/>
        </w:rPr>
        <w:t>attendus,</w:t>
      </w:r>
      <w:r w:rsidRPr="00BC19FD">
        <w:rPr>
          <w:b/>
          <w:spacing w:val="-2"/>
          <w:sz w:val="24"/>
          <w:szCs w:val="24"/>
        </w:rPr>
        <w:t xml:space="preserve"> </w:t>
      </w:r>
      <w:r w:rsidRPr="00BC19FD">
        <w:rPr>
          <w:b/>
          <w:sz w:val="24"/>
          <w:szCs w:val="24"/>
        </w:rPr>
        <w:t>conséquences</w:t>
      </w:r>
      <w:r w:rsidRPr="00BC19FD">
        <w:rPr>
          <w:b/>
          <w:spacing w:val="-3"/>
          <w:sz w:val="24"/>
          <w:szCs w:val="24"/>
        </w:rPr>
        <w:t xml:space="preserve"> </w:t>
      </w:r>
      <w:r w:rsidRPr="00BC19FD">
        <w:rPr>
          <w:b/>
          <w:sz w:val="24"/>
          <w:szCs w:val="24"/>
        </w:rPr>
        <w:t>attendues et</w:t>
      </w:r>
      <w:r w:rsidRPr="00BC19FD">
        <w:rPr>
          <w:b/>
          <w:spacing w:val="-3"/>
          <w:sz w:val="24"/>
          <w:szCs w:val="24"/>
        </w:rPr>
        <w:t xml:space="preserve"> </w:t>
      </w:r>
      <w:r w:rsidRPr="00BC19FD">
        <w:rPr>
          <w:b/>
          <w:sz w:val="24"/>
          <w:szCs w:val="24"/>
        </w:rPr>
        <w:t>perspectives</w:t>
      </w:r>
    </w:p>
    <w:p w14:paraId="6CCBB337" w14:textId="65A8E6C0" w:rsidR="00380D6D" w:rsidRDefault="00380D6D" w:rsidP="00370130">
      <w:pPr>
        <w:tabs>
          <w:tab w:val="left" w:pos="1297"/>
        </w:tabs>
        <w:jc w:val="both"/>
        <w:rPr>
          <w:bCs/>
          <w:sz w:val="24"/>
          <w:szCs w:val="24"/>
        </w:rPr>
      </w:pPr>
      <w:r>
        <w:rPr>
          <w:bCs/>
          <w:sz w:val="24"/>
          <w:szCs w:val="24"/>
        </w:rPr>
        <w:t xml:space="preserve">Avec cette étude, nous décrirons pour la première fois l’utilisation de l’association de RTX/MMF dans la </w:t>
      </w:r>
      <w:proofErr w:type="spellStart"/>
      <w:r>
        <w:rPr>
          <w:bCs/>
          <w:sz w:val="24"/>
          <w:szCs w:val="24"/>
        </w:rPr>
        <w:t>ScS</w:t>
      </w:r>
      <w:proofErr w:type="spellEnd"/>
      <w:r>
        <w:rPr>
          <w:bCs/>
          <w:sz w:val="24"/>
          <w:szCs w:val="24"/>
        </w:rPr>
        <w:t xml:space="preserve"> en France.</w:t>
      </w:r>
    </w:p>
    <w:p w14:paraId="2CF0D113" w14:textId="6206B50C" w:rsidR="00A96E22" w:rsidRPr="00BC19FD" w:rsidRDefault="00380D6D" w:rsidP="00370130">
      <w:pPr>
        <w:tabs>
          <w:tab w:val="left" w:pos="1297"/>
        </w:tabs>
        <w:jc w:val="both"/>
        <w:rPr>
          <w:bCs/>
          <w:sz w:val="24"/>
          <w:szCs w:val="24"/>
        </w:rPr>
      </w:pPr>
      <w:r>
        <w:rPr>
          <w:bCs/>
          <w:sz w:val="24"/>
          <w:szCs w:val="24"/>
        </w:rPr>
        <w:t xml:space="preserve">Idéalement, nous espérons montrer </w:t>
      </w:r>
      <w:r w:rsidR="00A96E22" w:rsidRPr="00BC19FD">
        <w:rPr>
          <w:bCs/>
          <w:sz w:val="24"/>
          <w:szCs w:val="24"/>
        </w:rPr>
        <w:t xml:space="preserve">une </w:t>
      </w:r>
      <w:r w:rsidR="004A4011" w:rsidRPr="00BC19FD">
        <w:rPr>
          <w:bCs/>
          <w:sz w:val="24"/>
          <w:szCs w:val="24"/>
        </w:rPr>
        <w:t xml:space="preserve">amélioration </w:t>
      </w:r>
      <w:r>
        <w:rPr>
          <w:bCs/>
          <w:sz w:val="24"/>
          <w:szCs w:val="24"/>
        </w:rPr>
        <w:t xml:space="preserve">statistiquement supérieure </w:t>
      </w:r>
      <w:r w:rsidR="004A4011" w:rsidRPr="00BC19FD">
        <w:rPr>
          <w:bCs/>
          <w:sz w:val="24"/>
          <w:szCs w:val="24"/>
        </w:rPr>
        <w:t xml:space="preserve">du </w:t>
      </w:r>
      <w:proofErr w:type="spellStart"/>
      <w:r>
        <w:rPr>
          <w:bCs/>
          <w:sz w:val="24"/>
          <w:szCs w:val="24"/>
        </w:rPr>
        <w:t>mRSS</w:t>
      </w:r>
      <w:proofErr w:type="spellEnd"/>
      <w:r>
        <w:rPr>
          <w:bCs/>
          <w:sz w:val="24"/>
          <w:szCs w:val="24"/>
        </w:rPr>
        <w:t xml:space="preserve"> et de la CVF à un an</w:t>
      </w:r>
      <w:r w:rsidR="004A4011" w:rsidRPr="00BC19FD">
        <w:rPr>
          <w:bCs/>
          <w:sz w:val="24"/>
          <w:szCs w:val="24"/>
        </w:rPr>
        <w:t xml:space="preserve"> chez les patients traités concomitamment par </w:t>
      </w:r>
      <w:r w:rsidR="000961AB" w:rsidRPr="00BC19FD">
        <w:rPr>
          <w:bCs/>
          <w:sz w:val="24"/>
          <w:szCs w:val="24"/>
        </w:rPr>
        <w:t>RTX/MMF</w:t>
      </w:r>
      <w:r w:rsidR="004A4011" w:rsidRPr="00BC19FD">
        <w:rPr>
          <w:bCs/>
          <w:sz w:val="24"/>
          <w:szCs w:val="24"/>
        </w:rPr>
        <w:t xml:space="preserve"> en comparaison au traitement par </w:t>
      </w:r>
      <w:r w:rsidR="000961AB" w:rsidRPr="00BC19FD">
        <w:rPr>
          <w:bCs/>
          <w:sz w:val="24"/>
          <w:szCs w:val="24"/>
        </w:rPr>
        <w:t>MMF</w:t>
      </w:r>
      <w:r w:rsidR="004A4011" w:rsidRPr="00BC19FD">
        <w:rPr>
          <w:bCs/>
          <w:sz w:val="24"/>
          <w:szCs w:val="24"/>
        </w:rPr>
        <w:t xml:space="preserve"> </w:t>
      </w:r>
      <w:r>
        <w:rPr>
          <w:bCs/>
          <w:sz w:val="24"/>
          <w:szCs w:val="24"/>
        </w:rPr>
        <w:t>ou RTX</w:t>
      </w:r>
      <w:r w:rsidR="004A4011" w:rsidRPr="00BC19FD">
        <w:rPr>
          <w:bCs/>
          <w:sz w:val="24"/>
          <w:szCs w:val="24"/>
        </w:rPr>
        <w:t xml:space="preserve"> d’autre part.</w:t>
      </w:r>
    </w:p>
    <w:p w14:paraId="48ED9D78" w14:textId="585A691F" w:rsidR="004A4011" w:rsidRPr="00BC19FD" w:rsidRDefault="00380D6D" w:rsidP="00370130">
      <w:pPr>
        <w:tabs>
          <w:tab w:val="left" w:pos="1297"/>
        </w:tabs>
        <w:jc w:val="both"/>
        <w:rPr>
          <w:bCs/>
          <w:sz w:val="24"/>
          <w:szCs w:val="24"/>
        </w:rPr>
      </w:pPr>
      <w:r>
        <w:rPr>
          <w:bCs/>
          <w:sz w:val="24"/>
          <w:szCs w:val="24"/>
        </w:rPr>
        <w:t>Concernant</w:t>
      </w:r>
      <w:r w:rsidR="004A4011" w:rsidRPr="00BC19FD">
        <w:rPr>
          <w:bCs/>
          <w:sz w:val="24"/>
          <w:szCs w:val="24"/>
        </w:rPr>
        <w:t xml:space="preserve"> la tolérance, nous </w:t>
      </w:r>
      <w:r>
        <w:rPr>
          <w:bCs/>
          <w:sz w:val="24"/>
          <w:szCs w:val="24"/>
        </w:rPr>
        <w:t xml:space="preserve">ne nous </w:t>
      </w:r>
      <w:r w:rsidR="004A4011" w:rsidRPr="00BC19FD">
        <w:rPr>
          <w:bCs/>
          <w:sz w:val="24"/>
          <w:szCs w:val="24"/>
        </w:rPr>
        <w:t>attendons pas</w:t>
      </w:r>
      <w:r>
        <w:rPr>
          <w:bCs/>
          <w:sz w:val="24"/>
          <w:szCs w:val="24"/>
        </w:rPr>
        <w:t xml:space="preserve"> à une</w:t>
      </w:r>
      <w:r w:rsidR="004A4011" w:rsidRPr="00BC19FD">
        <w:rPr>
          <w:bCs/>
          <w:sz w:val="24"/>
          <w:szCs w:val="24"/>
        </w:rPr>
        <w:t xml:space="preserve"> différence d’effets indésirables entre </w:t>
      </w:r>
      <w:r>
        <w:rPr>
          <w:bCs/>
          <w:sz w:val="24"/>
          <w:szCs w:val="24"/>
        </w:rPr>
        <w:t>les 3</w:t>
      </w:r>
      <w:r w:rsidRPr="00BC19FD">
        <w:rPr>
          <w:bCs/>
          <w:sz w:val="24"/>
          <w:szCs w:val="24"/>
        </w:rPr>
        <w:t xml:space="preserve"> </w:t>
      </w:r>
      <w:r w:rsidR="004A4011" w:rsidRPr="00BC19FD">
        <w:rPr>
          <w:bCs/>
          <w:sz w:val="24"/>
          <w:szCs w:val="24"/>
        </w:rPr>
        <w:t>groupes de patients.</w:t>
      </w:r>
    </w:p>
    <w:p w14:paraId="281D54EA" w14:textId="6C19353B" w:rsidR="00380D6D" w:rsidRPr="00B82720" w:rsidRDefault="005641B1" w:rsidP="00370130">
      <w:pPr>
        <w:tabs>
          <w:tab w:val="left" w:pos="1297"/>
        </w:tabs>
        <w:jc w:val="both"/>
        <w:rPr>
          <w:b/>
          <w:sz w:val="24"/>
          <w:szCs w:val="24"/>
        </w:rPr>
      </w:pPr>
      <w:r>
        <w:rPr>
          <w:bCs/>
          <w:sz w:val="24"/>
          <w:szCs w:val="24"/>
        </w:rPr>
        <w:t>Parmi les</w:t>
      </w:r>
      <w:r w:rsidR="004A4011" w:rsidRPr="00BC19FD">
        <w:rPr>
          <w:bCs/>
          <w:sz w:val="24"/>
          <w:szCs w:val="24"/>
        </w:rPr>
        <w:t xml:space="preserve"> perspective</w:t>
      </w:r>
      <w:r>
        <w:rPr>
          <w:bCs/>
          <w:sz w:val="24"/>
          <w:szCs w:val="24"/>
        </w:rPr>
        <w:t>s, elle pourra</w:t>
      </w:r>
      <w:r w:rsidR="004A4011" w:rsidRPr="00BC19FD">
        <w:rPr>
          <w:bCs/>
          <w:sz w:val="24"/>
          <w:szCs w:val="24"/>
        </w:rPr>
        <w:t xml:space="preserve"> </w:t>
      </w:r>
      <w:r>
        <w:rPr>
          <w:bCs/>
          <w:sz w:val="24"/>
          <w:szCs w:val="24"/>
        </w:rPr>
        <w:t xml:space="preserve">servir de preuve de concept pour un </w:t>
      </w:r>
      <w:r w:rsidR="009A2235" w:rsidRPr="00BC19FD">
        <w:rPr>
          <w:bCs/>
          <w:sz w:val="24"/>
          <w:szCs w:val="24"/>
        </w:rPr>
        <w:t xml:space="preserve">essai thérapeutique de phase 3 comparant l’efficacité d’une </w:t>
      </w:r>
      <w:r>
        <w:rPr>
          <w:bCs/>
          <w:sz w:val="24"/>
          <w:szCs w:val="24"/>
        </w:rPr>
        <w:t>association</w:t>
      </w:r>
      <w:r w:rsidRPr="00BC19FD">
        <w:rPr>
          <w:bCs/>
          <w:sz w:val="24"/>
          <w:szCs w:val="24"/>
        </w:rPr>
        <w:t xml:space="preserve"> </w:t>
      </w:r>
      <w:r w:rsidR="009A2235" w:rsidRPr="00BC19FD">
        <w:rPr>
          <w:bCs/>
          <w:sz w:val="24"/>
          <w:szCs w:val="24"/>
        </w:rPr>
        <w:t xml:space="preserve">par </w:t>
      </w:r>
      <w:r w:rsidR="000961AB" w:rsidRPr="00BC19FD">
        <w:rPr>
          <w:bCs/>
          <w:sz w:val="24"/>
          <w:szCs w:val="24"/>
        </w:rPr>
        <w:t>MMF</w:t>
      </w:r>
      <w:r>
        <w:rPr>
          <w:bCs/>
          <w:sz w:val="24"/>
          <w:szCs w:val="24"/>
        </w:rPr>
        <w:t>/</w:t>
      </w:r>
      <w:r w:rsidR="000961AB" w:rsidRPr="00BC19FD">
        <w:rPr>
          <w:bCs/>
          <w:sz w:val="24"/>
          <w:szCs w:val="24"/>
        </w:rPr>
        <w:t>RTX</w:t>
      </w:r>
      <w:r w:rsidR="009A2235" w:rsidRPr="00BC19FD">
        <w:rPr>
          <w:bCs/>
          <w:sz w:val="24"/>
          <w:szCs w:val="24"/>
        </w:rPr>
        <w:t xml:space="preserve"> vs </w:t>
      </w:r>
      <w:r>
        <w:rPr>
          <w:bCs/>
          <w:sz w:val="24"/>
          <w:szCs w:val="24"/>
        </w:rPr>
        <w:t xml:space="preserve">une </w:t>
      </w:r>
      <w:r w:rsidR="009A2235" w:rsidRPr="005641B1">
        <w:rPr>
          <w:bCs/>
          <w:sz w:val="24"/>
          <w:szCs w:val="24"/>
        </w:rPr>
        <w:t>monothérapie</w:t>
      </w:r>
      <w:r w:rsidRPr="005641B1">
        <w:rPr>
          <w:bCs/>
          <w:sz w:val="24"/>
          <w:szCs w:val="24"/>
        </w:rPr>
        <w:t xml:space="preserve"> par MMF ou RTX.</w:t>
      </w:r>
    </w:p>
    <w:p w14:paraId="30C72729" w14:textId="77777777" w:rsidR="00BF7A96" w:rsidRDefault="00000000" w:rsidP="00370130">
      <w:pPr>
        <w:pStyle w:val="Paragraphedeliste"/>
        <w:numPr>
          <w:ilvl w:val="1"/>
          <w:numId w:val="1"/>
        </w:numPr>
        <w:tabs>
          <w:tab w:val="left" w:pos="1297"/>
        </w:tabs>
        <w:ind w:hanging="721"/>
        <w:rPr>
          <w:b/>
          <w:sz w:val="24"/>
        </w:rPr>
      </w:pPr>
      <w:r>
        <w:rPr>
          <w:b/>
          <w:sz w:val="24"/>
        </w:rPr>
        <w:lastRenderedPageBreak/>
        <w:t>Bibliographie</w:t>
      </w:r>
    </w:p>
    <w:p w14:paraId="50804FEC" w14:textId="39394D97" w:rsidR="004B1D6E" w:rsidRDefault="004B1D6E" w:rsidP="00370130">
      <w:pPr>
        <w:pStyle w:val="Corpsdetexte"/>
        <w:jc w:val="both"/>
        <w:rPr>
          <w:sz w:val="26"/>
        </w:rPr>
      </w:pPr>
    </w:p>
    <w:p w14:paraId="01692D02" w14:textId="77777777" w:rsidR="00CF74EF" w:rsidRPr="00CF74EF" w:rsidRDefault="00711B40">
      <w:pPr>
        <w:adjustRightInd w:val="0"/>
        <w:rPr>
          <w:rFonts w:ascii="Times New Roman" w:hAnsi="Times New Roman" w:cs="Times New Roman"/>
          <w:lang w:val="en-US"/>
        </w:rPr>
      </w:pPr>
      <w:r>
        <w:fldChar w:fldCharType="begin"/>
      </w:r>
      <w:r w:rsidRPr="00711B40">
        <w:rPr>
          <w:lang w:val="en-US"/>
        </w:rPr>
        <w:instrText xml:space="preserve"> ADDIN ZOTERO_BIBL {"uncited":[],"omitted":[],"custom":[]} CSL_BIBLIOGRAPHY </w:instrText>
      </w:r>
      <w:r>
        <w:fldChar w:fldCharType="separate"/>
      </w:r>
      <w:r w:rsidR="00CF74EF" w:rsidRPr="00CF74EF">
        <w:rPr>
          <w:rFonts w:ascii="Times New Roman" w:hAnsi="Times New Roman" w:cs="Times New Roman"/>
          <w:lang w:val="en-US"/>
        </w:rPr>
        <w:t>1.</w:t>
      </w:r>
      <w:r w:rsidR="00CF74EF" w:rsidRPr="00CF74EF">
        <w:rPr>
          <w:rFonts w:ascii="Times New Roman" w:hAnsi="Times New Roman" w:cs="Times New Roman"/>
          <w:lang w:val="en-US"/>
        </w:rPr>
        <w:tab/>
        <w:t xml:space="preserve">Elhai M, Avouac J, Kahan A, Allanore Y. Systemic sclerosis: Recent insights. Joint Bone Spine. mai 2015;82(3):148‑53. </w:t>
      </w:r>
    </w:p>
    <w:p w14:paraId="3AF05BD3" w14:textId="77777777" w:rsidR="00CF74EF" w:rsidRPr="00CF74EF" w:rsidRDefault="00CF74EF">
      <w:pPr>
        <w:adjustRightInd w:val="0"/>
        <w:rPr>
          <w:rFonts w:ascii="Times New Roman" w:hAnsi="Times New Roman" w:cs="Times New Roman"/>
          <w:lang w:val="en-US"/>
        </w:rPr>
      </w:pPr>
      <w:r w:rsidRPr="00CF74EF">
        <w:rPr>
          <w:rFonts w:ascii="Times New Roman" w:hAnsi="Times New Roman" w:cs="Times New Roman"/>
          <w:lang w:val="en-US"/>
        </w:rPr>
        <w:t>2.</w:t>
      </w:r>
      <w:r w:rsidRPr="00CF74EF">
        <w:rPr>
          <w:rFonts w:ascii="Times New Roman" w:hAnsi="Times New Roman" w:cs="Times New Roman"/>
          <w:lang w:val="en-US"/>
        </w:rPr>
        <w:tab/>
        <w:t xml:space="preserve">Denton CP, Khanna D. Systemic sclerosis. Lancet. 7 oct 2017;390(10103):1685‑99. </w:t>
      </w:r>
    </w:p>
    <w:p w14:paraId="31FF8D0A" w14:textId="77777777" w:rsidR="00CF74EF" w:rsidRPr="00CF74EF" w:rsidRDefault="00CF74EF">
      <w:pPr>
        <w:adjustRightInd w:val="0"/>
        <w:rPr>
          <w:rFonts w:ascii="Times New Roman" w:hAnsi="Times New Roman" w:cs="Times New Roman"/>
          <w:lang w:val="en-US"/>
        </w:rPr>
      </w:pPr>
      <w:r w:rsidRPr="00CF74EF">
        <w:rPr>
          <w:rFonts w:ascii="Times New Roman" w:hAnsi="Times New Roman" w:cs="Times New Roman"/>
          <w:lang w:val="en-US"/>
        </w:rPr>
        <w:t>3.</w:t>
      </w:r>
      <w:r w:rsidRPr="00CF74EF">
        <w:rPr>
          <w:rFonts w:ascii="Times New Roman" w:hAnsi="Times New Roman" w:cs="Times New Roman"/>
          <w:lang w:val="en-US"/>
        </w:rPr>
        <w:tab/>
        <w:t xml:space="preserve">Clements PJ, Lachenbruch PA, Seibold JR, Zee B, Steen VD, Brennan P, et al. Skin thickness score in systemic sclerosis: an assessment of interobserver variability in 3 independent studies. J Rheumatol. nov 1993;20(11):1892‑6. </w:t>
      </w:r>
    </w:p>
    <w:p w14:paraId="33D28057" w14:textId="77777777" w:rsidR="00CF74EF" w:rsidRPr="00CF74EF" w:rsidRDefault="00CF74EF">
      <w:pPr>
        <w:adjustRightInd w:val="0"/>
        <w:rPr>
          <w:rFonts w:ascii="Times New Roman" w:hAnsi="Times New Roman" w:cs="Times New Roman"/>
          <w:lang w:val="en-US"/>
        </w:rPr>
      </w:pPr>
      <w:r w:rsidRPr="00CF74EF">
        <w:rPr>
          <w:rFonts w:ascii="Times New Roman" w:hAnsi="Times New Roman" w:cs="Times New Roman"/>
          <w:lang w:val="en-US"/>
        </w:rPr>
        <w:t>4.</w:t>
      </w:r>
      <w:r w:rsidRPr="00CF74EF">
        <w:rPr>
          <w:rFonts w:ascii="Times New Roman" w:hAnsi="Times New Roman" w:cs="Times New Roman"/>
          <w:lang w:val="en-US"/>
        </w:rPr>
        <w:tab/>
        <w:t xml:space="preserve">Tashkin DP, Roth MD, Clements PJ, Furst DE, Khanna D, Kleerup EC, et al. Mycophenolate mofetil versus oral cyclophosphamide in scleroderma-related interstitial lung disease (SLS II): a randomised controlled, double-blind, parallel group trial. Lancet Respir Med. sept 2016;4(9):708‑19. </w:t>
      </w:r>
    </w:p>
    <w:p w14:paraId="2D925CED" w14:textId="77777777" w:rsidR="00CF74EF" w:rsidRPr="00CF74EF" w:rsidRDefault="00CF74EF">
      <w:pPr>
        <w:adjustRightInd w:val="0"/>
        <w:rPr>
          <w:rFonts w:ascii="Times New Roman" w:hAnsi="Times New Roman" w:cs="Times New Roman"/>
        </w:rPr>
      </w:pPr>
      <w:r w:rsidRPr="00CF74EF">
        <w:rPr>
          <w:rFonts w:ascii="Times New Roman" w:hAnsi="Times New Roman" w:cs="Times New Roman"/>
          <w:lang w:val="en-US"/>
        </w:rPr>
        <w:t>5.</w:t>
      </w:r>
      <w:r w:rsidRPr="00CF74EF">
        <w:rPr>
          <w:rFonts w:ascii="Times New Roman" w:hAnsi="Times New Roman" w:cs="Times New Roman"/>
          <w:lang w:val="en-US"/>
        </w:rPr>
        <w:tab/>
        <w:t xml:space="preserve">Safety and efficacy of rituximab in systemic sclerosis (DESIRES): a double-blind, investigator-initiated, randomised, placebo-controlled trial - The Lancet Rheumatology [Internet]. </w:t>
      </w:r>
      <w:r w:rsidRPr="00CF74EF">
        <w:rPr>
          <w:rFonts w:ascii="Times New Roman" w:hAnsi="Times New Roman" w:cs="Times New Roman"/>
        </w:rPr>
        <w:t>[cité 24 nov 2022]. Disponible sur: https://www.thelancet.com/journals/lanrhe/article/PIIS2665-9913(21)00107-7/fulltext</w:t>
      </w:r>
    </w:p>
    <w:p w14:paraId="6303C956" w14:textId="77777777" w:rsidR="00CF74EF" w:rsidRPr="00CF74EF" w:rsidRDefault="00CF74EF">
      <w:pPr>
        <w:adjustRightInd w:val="0"/>
        <w:rPr>
          <w:rFonts w:ascii="Times New Roman" w:hAnsi="Times New Roman" w:cs="Times New Roman"/>
        </w:rPr>
      </w:pPr>
      <w:r w:rsidRPr="00CF74EF">
        <w:rPr>
          <w:rFonts w:ascii="Times New Roman" w:hAnsi="Times New Roman" w:cs="Times New Roman"/>
          <w:lang w:val="en-US"/>
        </w:rPr>
        <w:t>6.</w:t>
      </w:r>
      <w:r w:rsidRPr="00CF74EF">
        <w:rPr>
          <w:rFonts w:ascii="Times New Roman" w:hAnsi="Times New Roman" w:cs="Times New Roman"/>
          <w:lang w:val="en-US"/>
        </w:rPr>
        <w:tab/>
        <w:t xml:space="preserve">Goswami RP, Ray A, Chatterjee M, Mukherjee A, Sircar G, Ghosh P. Rituximab in the treatment of systemic sclerosis-related interstitial lung disease: a systematic review and meta-analysis. </w:t>
      </w:r>
      <w:r w:rsidRPr="00CF74EF">
        <w:rPr>
          <w:rFonts w:ascii="Times New Roman" w:hAnsi="Times New Roman" w:cs="Times New Roman"/>
        </w:rPr>
        <w:t xml:space="preserve">Rheumatology (Oxford). 1 févr 2021;60(2):557‑67. </w:t>
      </w:r>
    </w:p>
    <w:p w14:paraId="234FCEE5" w14:textId="77777777" w:rsidR="00CF74EF" w:rsidRPr="00CF74EF" w:rsidRDefault="00CF74EF">
      <w:pPr>
        <w:adjustRightInd w:val="0"/>
        <w:rPr>
          <w:rFonts w:ascii="Times New Roman" w:hAnsi="Times New Roman" w:cs="Times New Roman"/>
          <w:lang w:val="en-US"/>
        </w:rPr>
      </w:pPr>
      <w:r w:rsidRPr="00CF74EF">
        <w:rPr>
          <w:rFonts w:ascii="Times New Roman" w:hAnsi="Times New Roman" w:cs="Times New Roman"/>
        </w:rPr>
        <w:t>7.</w:t>
      </w:r>
      <w:r w:rsidRPr="00CF74EF">
        <w:rPr>
          <w:rFonts w:ascii="Times New Roman" w:hAnsi="Times New Roman" w:cs="Times New Roman"/>
        </w:rPr>
        <w:tab/>
        <w:t xml:space="preserve">Fraticelli P, Fischetti C, Salaffi F, Carotti M, Mattioli M, Pomponio G, et al. </w:t>
      </w:r>
      <w:r w:rsidRPr="00CF74EF">
        <w:rPr>
          <w:rFonts w:ascii="Times New Roman" w:hAnsi="Times New Roman" w:cs="Times New Roman"/>
          <w:lang w:val="en-US"/>
        </w:rPr>
        <w:t xml:space="preserve">Combination therapy with rituximab and mycophenolate mofetil in systemic sclerosis. A single-centre case series study. Clin Exp Rheumatol. 2018;36 Suppl 113(4):142‑5. </w:t>
      </w:r>
    </w:p>
    <w:p w14:paraId="47C0FB30" w14:textId="77777777" w:rsidR="00CF74EF" w:rsidRPr="00CF74EF" w:rsidRDefault="00CF74EF">
      <w:pPr>
        <w:adjustRightInd w:val="0"/>
        <w:rPr>
          <w:rFonts w:ascii="Times New Roman" w:hAnsi="Times New Roman" w:cs="Times New Roman"/>
        </w:rPr>
      </w:pPr>
      <w:r w:rsidRPr="00CF74EF">
        <w:rPr>
          <w:rFonts w:ascii="Times New Roman" w:hAnsi="Times New Roman" w:cs="Times New Roman"/>
          <w:lang w:val="en-US"/>
        </w:rPr>
        <w:t>8.</w:t>
      </w:r>
      <w:r w:rsidRPr="00CF74EF">
        <w:rPr>
          <w:rFonts w:ascii="Times New Roman" w:hAnsi="Times New Roman" w:cs="Times New Roman"/>
          <w:lang w:val="en-US"/>
        </w:rPr>
        <w:tab/>
        <w:t xml:space="preserve">van den Hoogen F, Khanna D, Fransen J, Johnson SR, Baron M, Tyndall A, et al. 2013 Classification Criteria for Systemic Sclerosis: An American College of Rheumatology/European League Against Rheumatism Collaborative Initiative: ACR/EULAR Classification Criteria for SSc. </w:t>
      </w:r>
      <w:r w:rsidRPr="00CF74EF">
        <w:rPr>
          <w:rFonts w:ascii="Times New Roman" w:hAnsi="Times New Roman" w:cs="Times New Roman"/>
        </w:rPr>
        <w:t xml:space="preserve">Arthritis &amp; Rheumatism. nov 2013;65(11):2737‑47. </w:t>
      </w:r>
    </w:p>
    <w:p w14:paraId="2CA7689B" w14:textId="7DA500AE" w:rsidR="00BF7A96" w:rsidRPr="00711B40" w:rsidRDefault="00711B40" w:rsidP="00370130">
      <w:pPr>
        <w:pStyle w:val="Corpsdetexte"/>
        <w:jc w:val="both"/>
        <w:rPr>
          <w:sz w:val="22"/>
          <w:lang w:val="en-US"/>
        </w:rPr>
      </w:pPr>
      <w:r>
        <w:rPr>
          <w:sz w:val="22"/>
        </w:rPr>
        <w:fldChar w:fldCharType="end"/>
      </w:r>
    </w:p>
    <w:p w14:paraId="2D64BF4D" w14:textId="28EBFF71" w:rsidR="00BF7A96" w:rsidRPr="003E2093" w:rsidRDefault="003E2093" w:rsidP="00370130">
      <w:pPr>
        <w:pStyle w:val="Paragraphedeliste"/>
        <w:numPr>
          <w:ilvl w:val="0"/>
          <w:numId w:val="1"/>
        </w:numPr>
        <w:tabs>
          <w:tab w:val="left" w:pos="486"/>
        </w:tabs>
        <w:ind w:hanging="270"/>
        <w:rPr>
          <w:b/>
          <w:sz w:val="24"/>
        </w:rPr>
      </w:pPr>
      <w:r w:rsidRPr="003E2093">
        <w:rPr>
          <w:b/>
          <w:sz w:val="24"/>
        </w:rPr>
        <w:t>Cahier</w:t>
      </w:r>
      <w:r w:rsidRPr="003E2093">
        <w:rPr>
          <w:b/>
          <w:spacing w:val="-3"/>
          <w:sz w:val="24"/>
        </w:rPr>
        <w:t xml:space="preserve"> </w:t>
      </w:r>
      <w:r w:rsidRPr="003E2093">
        <w:rPr>
          <w:b/>
          <w:sz w:val="24"/>
        </w:rPr>
        <w:t>d’observation</w:t>
      </w:r>
      <w:r w:rsidRPr="003E2093">
        <w:rPr>
          <w:b/>
          <w:spacing w:val="-2"/>
          <w:sz w:val="24"/>
        </w:rPr>
        <w:t xml:space="preserve"> </w:t>
      </w:r>
      <w:r w:rsidRPr="003E2093">
        <w:rPr>
          <w:b/>
          <w:sz w:val="24"/>
        </w:rPr>
        <w:t>(CRF)</w:t>
      </w:r>
      <w:r w:rsidRPr="003E2093">
        <w:rPr>
          <w:b/>
          <w:spacing w:val="-1"/>
          <w:sz w:val="24"/>
        </w:rPr>
        <w:t xml:space="preserve"> </w:t>
      </w:r>
      <w:r w:rsidRPr="003E2093">
        <w:rPr>
          <w:b/>
          <w:sz w:val="24"/>
        </w:rPr>
        <w:t>joint à ce dossier</w:t>
      </w:r>
    </w:p>
    <w:sectPr w:rsidR="00BF7A96" w:rsidRPr="003E2093">
      <w:type w:val="continuous"/>
      <w:pgSz w:w="11900" w:h="16850"/>
      <w:pgMar w:top="1420" w:right="1200" w:bottom="280" w:left="12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altName w:val="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MT">
    <w:altName w:val="Arial"/>
    <w:panose1 w:val="020B0604020202020204"/>
    <w:charset w:val="01"/>
    <w:family w:val="swiss"/>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440276"/>
    <w:multiLevelType w:val="hybridMultilevel"/>
    <w:tmpl w:val="9EE2F4C0"/>
    <w:lvl w:ilvl="0" w:tplc="61BE4D7A">
      <w:numFmt w:val="bullet"/>
      <w:lvlText w:val="-"/>
      <w:lvlJc w:val="left"/>
      <w:pPr>
        <w:ind w:left="935" w:hanging="360"/>
      </w:pPr>
      <w:rPr>
        <w:rFonts w:ascii="Arial" w:eastAsiaTheme="minorHAnsi" w:hAnsi="Arial" w:cs="Arial" w:hint="default"/>
      </w:rPr>
    </w:lvl>
    <w:lvl w:ilvl="1" w:tplc="040C0003" w:tentative="1">
      <w:start w:val="1"/>
      <w:numFmt w:val="bullet"/>
      <w:lvlText w:val="o"/>
      <w:lvlJc w:val="left"/>
      <w:pPr>
        <w:ind w:left="1655" w:hanging="360"/>
      </w:pPr>
      <w:rPr>
        <w:rFonts w:ascii="Courier New" w:hAnsi="Courier New" w:cs="Courier New" w:hint="default"/>
      </w:rPr>
    </w:lvl>
    <w:lvl w:ilvl="2" w:tplc="040C0005" w:tentative="1">
      <w:start w:val="1"/>
      <w:numFmt w:val="bullet"/>
      <w:lvlText w:val=""/>
      <w:lvlJc w:val="left"/>
      <w:pPr>
        <w:ind w:left="2375" w:hanging="360"/>
      </w:pPr>
      <w:rPr>
        <w:rFonts w:ascii="Wingdings" w:hAnsi="Wingdings" w:hint="default"/>
      </w:rPr>
    </w:lvl>
    <w:lvl w:ilvl="3" w:tplc="040C0001" w:tentative="1">
      <w:start w:val="1"/>
      <w:numFmt w:val="bullet"/>
      <w:lvlText w:val=""/>
      <w:lvlJc w:val="left"/>
      <w:pPr>
        <w:ind w:left="3095" w:hanging="360"/>
      </w:pPr>
      <w:rPr>
        <w:rFonts w:ascii="Symbol" w:hAnsi="Symbol" w:hint="default"/>
      </w:rPr>
    </w:lvl>
    <w:lvl w:ilvl="4" w:tplc="040C0003" w:tentative="1">
      <w:start w:val="1"/>
      <w:numFmt w:val="bullet"/>
      <w:lvlText w:val="o"/>
      <w:lvlJc w:val="left"/>
      <w:pPr>
        <w:ind w:left="3815" w:hanging="360"/>
      </w:pPr>
      <w:rPr>
        <w:rFonts w:ascii="Courier New" w:hAnsi="Courier New" w:cs="Courier New" w:hint="default"/>
      </w:rPr>
    </w:lvl>
    <w:lvl w:ilvl="5" w:tplc="040C0005" w:tentative="1">
      <w:start w:val="1"/>
      <w:numFmt w:val="bullet"/>
      <w:lvlText w:val=""/>
      <w:lvlJc w:val="left"/>
      <w:pPr>
        <w:ind w:left="4535" w:hanging="360"/>
      </w:pPr>
      <w:rPr>
        <w:rFonts w:ascii="Wingdings" w:hAnsi="Wingdings" w:hint="default"/>
      </w:rPr>
    </w:lvl>
    <w:lvl w:ilvl="6" w:tplc="040C0001" w:tentative="1">
      <w:start w:val="1"/>
      <w:numFmt w:val="bullet"/>
      <w:lvlText w:val=""/>
      <w:lvlJc w:val="left"/>
      <w:pPr>
        <w:ind w:left="5255" w:hanging="360"/>
      </w:pPr>
      <w:rPr>
        <w:rFonts w:ascii="Symbol" w:hAnsi="Symbol" w:hint="default"/>
      </w:rPr>
    </w:lvl>
    <w:lvl w:ilvl="7" w:tplc="040C0003" w:tentative="1">
      <w:start w:val="1"/>
      <w:numFmt w:val="bullet"/>
      <w:lvlText w:val="o"/>
      <w:lvlJc w:val="left"/>
      <w:pPr>
        <w:ind w:left="5975" w:hanging="360"/>
      </w:pPr>
      <w:rPr>
        <w:rFonts w:ascii="Courier New" w:hAnsi="Courier New" w:cs="Courier New" w:hint="default"/>
      </w:rPr>
    </w:lvl>
    <w:lvl w:ilvl="8" w:tplc="040C0005" w:tentative="1">
      <w:start w:val="1"/>
      <w:numFmt w:val="bullet"/>
      <w:lvlText w:val=""/>
      <w:lvlJc w:val="left"/>
      <w:pPr>
        <w:ind w:left="6695" w:hanging="360"/>
      </w:pPr>
      <w:rPr>
        <w:rFonts w:ascii="Wingdings" w:hAnsi="Wingdings" w:hint="default"/>
      </w:rPr>
    </w:lvl>
  </w:abstractNum>
  <w:abstractNum w:abstractNumId="1" w15:restartNumberingAfterBreak="0">
    <w:nsid w:val="229730B6"/>
    <w:multiLevelType w:val="hybridMultilevel"/>
    <w:tmpl w:val="F3C8C28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3C610BED"/>
    <w:multiLevelType w:val="hybridMultilevel"/>
    <w:tmpl w:val="5C243590"/>
    <w:lvl w:ilvl="0" w:tplc="3E3C0F16">
      <w:start w:val="1"/>
      <w:numFmt w:val="decimal"/>
      <w:lvlText w:val="%1."/>
      <w:lvlJc w:val="left"/>
      <w:pPr>
        <w:ind w:left="485" w:hanging="269"/>
      </w:pPr>
      <w:rPr>
        <w:rFonts w:ascii="Arial" w:eastAsia="Arial" w:hAnsi="Arial" w:cs="Arial" w:hint="default"/>
        <w:b/>
        <w:bCs/>
        <w:w w:val="99"/>
        <w:sz w:val="24"/>
        <w:szCs w:val="24"/>
        <w:lang w:val="fr-FR" w:eastAsia="en-US" w:bidi="ar-SA"/>
      </w:rPr>
    </w:lvl>
    <w:lvl w:ilvl="1" w:tplc="FC86623A">
      <w:start w:val="1"/>
      <w:numFmt w:val="upperRoman"/>
      <w:lvlText w:val="%2-"/>
      <w:lvlJc w:val="left"/>
      <w:pPr>
        <w:ind w:left="1296" w:hanging="720"/>
      </w:pPr>
      <w:rPr>
        <w:rFonts w:ascii="Arial" w:eastAsia="Arial" w:hAnsi="Arial" w:cs="Arial" w:hint="default"/>
        <w:b/>
        <w:bCs/>
        <w:w w:val="100"/>
        <w:sz w:val="24"/>
        <w:szCs w:val="24"/>
        <w:lang w:val="fr-FR" w:eastAsia="en-US" w:bidi="ar-SA"/>
      </w:rPr>
    </w:lvl>
    <w:lvl w:ilvl="2" w:tplc="BEE031EC">
      <w:numFmt w:val="bullet"/>
      <w:lvlText w:val="•"/>
      <w:lvlJc w:val="left"/>
      <w:pPr>
        <w:ind w:left="2211" w:hanging="720"/>
      </w:pPr>
      <w:rPr>
        <w:rFonts w:hint="default"/>
        <w:lang w:val="fr-FR" w:eastAsia="en-US" w:bidi="ar-SA"/>
      </w:rPr>
    </w:lvl>
    <w:lvl w:ilvl="3" w:tplc="A91E65F2">
      <w:numFmt w:val="bullet"/>
      <w:lvlText w:val="•"/>
      <w:lvlJc w:val="left"/>
      <w:pPr>
        <w:ind w:left="3122" w:hanging="720"/>
      </w:pPr>
      <w:rPr>
        <w:rFonts w:hint="default"/>
        <w:lang w:val="fr-FR" w:eastAsia="en-US" w:bidi="ar-SA"/>
      </w:rPr>
    </w:lvl>
    <w:lvl w:ilvl="4" w:tplc="8A94CDCA">
      <w:numFmt w:val="bullet"/>
      <w:lvlText w:val="•"/>
      <w:lvlJc w:val="left"/>
      <w:pPr>
        <w:ind w:left="4033" w:hanging="720"/>
      </w:pPr>
      <w:rPr>
        <w:rFonts w:hint="default"/>
        <w:lang w:val="fr-FR" w:eastAsia="en-US" w:bidi="ar-SA"/>
      </w:rPr>
    </w:lvl>
    <w:lvl w:ilvl="5" w:tplc="70C6D94C">
      <w:numFmt w:val="bullet"/>
      <w:lvlText w:val="•"/>
      <w:lvlJc w:val="left"/>
      <w:pPr>
        <w:ind w:left="4944" w:hanging="720"/>
      </w:pPr>
      <w:rPr>
        <w:rFonts w:hint="default"/>
        <w:lang w:val="fr-FR" w:eastAsia="en-US" w:bidi="ar-SA"/>
      </w:rPr>
    </w:lvl>
    <w:lvl w:ilvl="6" w:tplc="B3C4E1BC">
      <w:numFmt w:val="bullet"/>
      <w:lvlText w:val="•"/>
      <w:lvlJc w:val="left"/>
      <w:pPr>
        <w:ind w:left="5855" w:hanging="720"/>
      </w:pPr>
      <w:rPr>
        <w:rFonts w:hint="default"/>
        <w:lang w:val="fr-FR" w:eastAsia="en-US" w:bidi="ar-SA"/>
      </w:rPr>
    </w:lvl>
    <w:lvl w:ilvl="7" w:tplc="90D4A2A0">
      <w:numFmt w:val="bullet"/>
      <w:lvlText w:val="•"/>
      <w:lvlJc w:val="left"/>
      <w:pPr>
        <w:ind w:left="6766" w:hanging="720"/>
      </w:pPr>
      <w:rPr>
        <w:rFonts w:hint="default"/>
        <w:lang w:val="fr-FR" w:eastAsia="en-US" w:bidi="ar-SA"/>
      </w:rPr>
    </w:lvl>
    <w:lvl w:ilvl="8" w:tplc="80AA5BF8">
      <w:numFmt w:val="bullet"/>
      <w:lvlText w:val="•"/>
      <w:lvlJc w:val="left"/>
      <w:pPr>
        <w:ind w:left="7677" w:hanging="720"/>
      </w:pPr>
      <w:rPr>
        <w:rFonts w:hint="default"/>
        <w:lang w:val="fr-FR" w:eastAsia="en-US" w:bidi="ar-SA"/>
      </w:rPr>
    </w:lvl>
  </w:abstractNum>
  <w:abstractNum w:abstractNumId="3" w15:restartNumberingAfterBreak="0">
    <w:nsid w:val="67A1469A"/>
    <w:multiLevelType w:val="multilevel"/>
    <w:tmpl w:val="040C0027"/>
    <w:lvl w:ilvl="0">
      <w:start w:val="1"/>
      <w:numFmt w:val="upperRoman"/>
      <w:pStyle w:val="Titre1"/>
      <w:lvlText w:val="%1."/>
      <w:lvlJc w:val="left"/>
      <w:pPr>
        <w:ind w:left="0" w:firstLine="0"/>
      </w:pPr>
    </w:lvl>
    <w:lvl w:ilvl="1">
      <w:start w:val="1"/>
      <w:numFmt w:val="upperLetter"/>
      <w:pStyle w:val="Titre2"/>
      <w:lvlText w:val="%2."/>
      <w:lvlJc w:val="left"/>
      <w:pPr>
        <w:ind w:left="720" w:firstLine="0"/>
      </w:pPr>
    </w:lvl>
    <w:lvl w:ilvl="2">
      <w:start w:val="1"/>
      <w:numFmt w:val="decimal"/>
      <w:pStyle w:val="Titre3"/>
      <w:lvlText w:val="%3."/>
      <w:lvlJc w:val="left"/>
      <w:pPr>
        <w:ind w:left="1440" w:firstLine="0"/>
      </w:pPr>
    </w:lvl>
    <w:lvl w:ilvl="3">
      <w:start w:val="1"/>
      <w:numFmt w:val="lowerLetter"/>
      <w:pStyle w:val="Titre4"/>
      <w:lvlText w:val="%4)"/>
      <w:lvlJc w:val="left"/>
      <w:pPr>
        <w:ind w:left="2160" w:firstLine="0"/>
      </w:pPr>
    </w:lvl>
    <w:lvl w:ilvl="4">
      <w:start w:val="1"/>
      <w:numFmt w:val="decimal"/>
      <w:pStyle w:val="Titre5"/>
      <w:lvlText w:val="(%5)"/>
      <w:lvlJc w:val="left"/>
      <w:pPr>
        <w:ind w:left="2880" w:firstLine="0"/>
      </w:pPr>
    </w:lvl>
    <w:lvl w:ilvl="5">
      <w:start w:val="1"/>
      <w:numFmt w:val="lowerLetter"/>
      <w:pStyle w:val="Titre6"/>
      <w:lvlText w:val="(%6)"/>
      <w:lvlJc w:val="left"/>
      <w:pPr>
        <w:ind w:left="3600" w:firstLine="0"/>
      </w:pPr>
    </w:lvl>
    <w:lvl w:ilvl="6">
      <w:start w:val="1"/>
      <w:numFmt w:val="lowerRoman"/>
      <w:pStyle w:val="Titre7"/>
      <w:lvlText w:val="(%7)"/>
      <w:lvlJc w:val="left"/>
      <w:pPr>
        <w:ind w:left="4320" w:firstLine="0"/>
      </w:pPr>
    </w:lvl>
    <w:lvl w:ilvl="7">
      <w:start w:val="1"/>
      <w:numFmt w:val="lowerLetter"/>
      <w:pStyle w:val="Titre8"/>
      <w:lvlText w:val="(%8)"/>
      <w:lvlJc w:val="left"/>
      <w:pPr>
        <w:ind w:left="5040" w:firstLine="0"/>
      </w:pPr>
    </w:lvl>
    <w:lvl w:ilvl="8">
      <w:start w:val="1"/>
      <w:numFmt w:val="lowerRoman"/>
      <w:pStyle w:val="Titre9"/>
      <w:lvlText w:val="(%9)"/>
      <w:lvlJc w:val="left"/>
      <w:pPr>
        <w:ind w:left="5760" w:firstLine="0"/>
      </w:pPr>
    </w:lvl>
  </w:abstractNum>
  <w:abstractNum w:abstractNumId="4" w15:restartNumberingAfterBreak="0">
    <w:nsid w:val="6A1B633F"/>
    <w:multiLevelType w:val="hybridMultilevel"/>
    <w:tmpl w:val="31782E4E"/>
    <w:lvl w:ilvl="0" w:tplc="F6048EE4">
      <w:start w:val="1"/>
      <w:numFmt w:val="bullet"/>
      <w:lvlText w:val="-"/>
      <w:lvlJc w:val="left"/>
      <w:pPr>
        <w:ind w:left="720" w:hanging="360"/>
      </w:pPr>
      <w:rPr>
        <w:rFonts w:ascii="Arial" w:eastAsia="Arial"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37B7B5E"/>
    <w:multiLevelType w:val="hybridMultilevel"/>
    <w:tmpl w:val="71FA1204"/>
    <w:lvl w:ilvl="0" w:tplc="9E36EC0E">
      <w:start w:val="92"/>
      <w:numFmt w:val="bullet"/>
      <w:lvlText w:val="-"/>
      <w:lvlJc w:val="left"/>
      <w:pPr>
        <w:ind w:left="360" w:hanging="360"/>
      </w:pPr>
      <w:rPr>
        <w:rFonts w:ascii="Arial" w:eastAsiaTheme="minorHAnsi" w:hAnsi="Arial" w:cs="Aria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972056803">
    <w:abstractNumId w:val="2"/>
  </w:num>
  <w:num w:numId="2" w16cid:durableId="1245262810">
    <w:abstractNumId w:val="4"/>
  </w:num>
  <w:num w:numId="3" w16cid:durableId="1611861677">
    <w:abstractNumId w:val="5"/>
  </w:num>
  <w:num w:numId="4" w16cid:durableId="774128717">
    <w:abstractNumId w:val="3"/>
  </w:num>
  <w:num w:numId="5" w16cid:durableId="972831823">
    <w:abstractNumId w:val="0"/>
  </w:num>
  <w:num w:numId="6" w16cid:durableId="16768076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A96"/>
    <w:rsid w:val="000030E6"/>
    <w:rsid w:val="0006329F"/>
    <w:rsid w:val="000961AB"/>
    <w:rsid w:val="00122D14"/>
    <w:rsid w:val="00182104"/>
    <w:rsid w:val="001B252F"/>
    <w:rsid w:val="00222A40"/>
    <w:rsid w:val="00297539"/>
    <w:rsid w:val="00370130"/>
    <w:rsid w:val="00380D6D"/>
    <w:rsid w:val="003940B9"/>
    <w:rsid w:val="003B507C"/>
    <w:rsid w:val="003E2093"/>
    <w:rsid w:val="004906CE"/>
    <w:rsid w:val="004A4011"/>
    <w:rsid w:val="004B1D6E"/>
    <w:rsid w:val="005641B1"/>
    <w:rsid w:val="005D191C"/>
    <w:rsid w:val="005E5FD5"/>
    <w:rsid w:val="005F4A5C"/>
    <w:rsid w:val="00643F44"/>
    <w:rsid w:val="00651FCA"/>
    <w:rsid w:val="00657269"/>
    <w:rsid w:val="00657871"/>
    <w:rsid w:val="006D22F5"/>
    <w:rsid w:val="006F7CA2"/>
    <w:rsid w:val="00706286"/>
    <w:rsid w:val="00711B40"/>
    <w:rsid w:val="007C22CB"/>
    <w:rsid w:val="00850C85"/>
    <w:rsid w:val="00893F85"/>
    <w:rsid w:val="008B7966"/>
    <w:rsid w:val="008C4968"/>
    <w:rsid w:val="00991641"/>
    <w:rsid w:val="009A2235"/>
    <w:rsid w:val="009B5209"/>
    <w:rsid w:val="009D1C4F"/>
    <w:rsid w:val="00A24D60"/>
    <w:rsid w:val="00A93C3B"/>
    <w:rsid w:val="00A96E22"/>
    <w:rsid w:val="00AD51E9"/>
    <w:rsid w:val="00B82720"/>
    <w:rsid w:val="00BC19FD"/>
    <w:rsid w:val="00BD75AB"/>
    <w:rsid w:val="00BE6B11"/>
    <w:rsid w:val="00BF7A96"/>
    <w:rsid w:val="00C177E3"/>
    <w:rsid w:val="00C40758"/>
    <w:rsid w:val="00C43180"/>
    <w:rsid w:val="00C748C5"/>
    <w:rsid w:val="00CA2ABE"/>
    <w:rsid w:val="00CB5377"/>
    <w:rsid w:val="00CF74EF"/>
    <w:rsid w:val="00D97C11"/>
    <w:rsid w:val="00DB1DEF"/>
    <w:rsid w:val="00E11D1C"/>
    <w:rsid w:val="00E41F87"/>
    <w:rsid w:val="00E4759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5C6FF"/>
  <w15:docId w15:val="{F036992F-3760-401F-9784-A360BEC39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fr-FR"/>
    </w:rPr>
  </w:style>
  <w:style w:type="paragraph" w:styleId="Titre1">
    <w:name w:val="heading 1"/>
    <w:aliases w:val="Heading 1 Char"/>
    <w:basedOn w:val="Normal"/>
    <w:next w:val="Normal"/>
    <w:link w:val="Titre1Car"/>
    <w:uiPriority w:val="9"/>
    <w:qFormat/>
    <w:rsid w:val="004906CE"/>
    <w:pPr>
      <w:keepNext/>
      <w:keepLines/>
      <w:widowControl/>
      <w:numPr>
        <w:numId w:val="4"/>
      </w:numPr>
      <w:autoSpaceDE/>
      <w:autoSpaceDN/>
      <w:spacing w:before="240" w:line="259" w:lineRule="auto"/>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link w:val="Titre2Car"/>
    <w:uiPriority w:val="9"/>
    <w:unhideWhenUsed/>
    <w:qFormat/>
    <w:rsid w:val="004906CE"/>
    <w:pPr>
      <w:keepNext/>
      <w:keepLines/>
      <w:widowControl/>
      <w:numPr>
        <w:ilvl w:val="1"/>
        <w:numId w:val="4"/>
      </w:numPr>
      <w:autoSpaceDE/>
      <w:autoSpaceDN/>
      <w:spacing w:before="40" w:line="259" w:lineRule="auto"/>
      <w:outlineLvl w:val="1"/>
    </w:pPr>
    <w:rPr>
      <w:rFonts w:asciiTheme="majorHAnsi" w:eastAsiaTheme="majorEastAsia" w:hAnsiTheme="majorHAnsi" w:cstheme="majorBidi"/>
      <w:color w:val="365F91" w:themeColor="accent1" w:themeShade="BF"/>
      <w:sz w:val="26"/>
      <w:szCs w:val="26"/>
    </w:rPr>
  </w:style>
  <w:style w:type="paragraph" w:styleId="Titre3">
    <w:name w:val="heading 3"/>
    <w:basedOn w:val="Normal"/>
    <w:next w:val="Normal"/>
    <w:link w:val="Titre3Car"/>
    <w:uiPriority w:val="9"/>
    <w:unhideWhenUsed/>
    <w:qFormat/>
    <w:rsid w:val="004906CE"/>
    <w:pPr>
      <w:keepNext/>
      <w:keepLines/>
      <w:widowControl/>
      <w:numPr>
        <w:ilvl w:val="2"/>
        <w:numId w:val="4"/>
      </w:numPr>
      <w:autoSpaceDE/>
      <w:autoSpaceDN/>
      <w:spacing w:before="40" w:line="259" w:lineRule="auto"/>
      <w:outlineLvl w:val="2"/>
    </w:pPr>
    <w:rPr>
      <w:rFonts w:asciiTheme="majorHAnsi" w:eastAsiaTheme="majorEastAsia" w:hAnsiTheme="majorHAnsi" w:cstheme="majorBidi"/>
      <w:color w:val="243F60" w:themeColor="accent1" w:themeShade="7F"/>
      <w:sz w:val="24"/>
      <w:szCs w:val="24"/>
    </w:rPr>
  </w:style>
  <w:style w:type="paragraph" w:styleId="Titre4">
    <w:name w:val="heading 4"/>
    <w:basedOn w:val="Normal"/>
    <w:next w:val="Normal"/>
    <w:link w:val="Titre4Car"/>
    <w:unhideWhenUsed/>
    <w:qFormat/>
    <w:rsid w:val="004906CE"/>
    <w:pPr>
      <w:keepNext/>
      <w:keepLines/>
      <w:widowControl/>
      <w:numPr>
        <w:ilvl w:val="3"/>
        <w:numId w:val="4"/>
      </w:numPr>
      <w:autoSpaceDE/>
      <w:autoSpaceDN/>
      <w:spacing w:before="40" w:line="259" w:lineRule="auto"/>
      <w:outlineLvl w:val="3"/>
    </w:pPr>
    <w:rPr>
      <w:rFonts w:asciiTheme="majorHAnsi" w:eastAsiaTheme="majorEastAsia" w:hAnsiTheme="majorHAnsi" w:cstheme="majorBidi"/>
      <w:i/>
      <w:iCs/>
      <w:color w:val="365F91" w:themeColor="accent1" w:themeShade="BF"/>
    </w:rPr>
  </w:style>
  <w:style w:type="paragraph" w:styleId="Titre5">
    <w:name w:val="heading 5"/>
    <w:basedOn w:val="Normal"/>
    <w:next w:val="Normal"/>
    <w:link w:val="Titre5Car"/>
    <w:unhideWhenUsed/>
    <w:qFormat/>
    <w:rsid w:val="004906CE"/>
    <w:pPr>
      <w:keepNext/>
      <w:keepLines/>
      <w:widowControl/>
      <w:numPr>
        <w:ilvl w:val="4"/>
        <w:numId w:val="4"/>
      </w:numPr>
      <w:autoSpaceDE/>
      <w:autoSpaceDN/>
      <w:spacing w:before="40"/>
      <w:outlineLvl w:val="4"/>
    </w:pPr>
    <w:rPr>
      <w:rFonts w:asciiTheme="majorHAnsi" w:eastAsiaTheme="majorEastAsia" w:hAnsiTheme="majorHAnsi" w:cstheme="majorBidi"/>
      <w:color w:val="365F91" w:themeColor="accent1" w:themeShade="BF"/>
      <w:sz w:val="24"/>
      <w:szCs w:val="24"/>
      <w:lang w:eastAsia="ja-JP"/>
    </w:rPr>
  </w:style>
  <w:style w:type="paragraph" w:styleId="Titre6">
    <w:name w:val="heading 6"/>
    <w:basedOn w:val="Normal"/>
    <w:next w:val="Normal"/>
    <w:link w:val="Titre6Car"/>
    <w:uiPriority w:val="9"/>
    <w:unhideWhenUsed/>
    <w:qFormat/>
    <w:rsid w:val="004906CE"/>
    <w:pPr>
      <w:keepNext/>
      <w:keepLines/>
      <w:widowControl/>
      <w:numPr>
        <w:ilvl w:val="5"/>
        <w:numId w:val="4"/>
      </w:numPr>
      <w:autoSpaceDE/>
      <w:autoSpaceDN/>
      <w:spacing w:before="40"/>
      <w:outlineLvl w:val="5"/>
    </w:pPr>
    <w:rPr>
      <w:rFonts w:asciiTheme="majorHAnsi" w:eastAsiaTheme="majorEastAsia" w:hAnsiTheme="majorHAnsi" w:cstheme="majorBidi"/>
      <w:color w:val="243F60" w:themeColor="accent1" w:themeShade="7F"/>
      <w:sz w:val="24"/>
      <w:szCs w:val="24"/>
      <w:lang w:eastAsia="ja-JP"/>
    </w:rPr>
  </w:style>
  <w:style w:type="paragraph" w:styleId="Titre7">
    <w:name w:val="heading 7"/>
    <w:basedOn w:val="Normal"/>
    <w:next w:val="Normal"/>
    <w:link w:val="Titre7Car"/>
    <w:unhideWhenUsed/>
    <w:qFormat/>
    <w:rsid w:val="004906CE"/>
    <w:pPr>
      <w:keepNext/>
      <w:keepLines/>
      <w:widowControl/>
      <w:numPr>
        <w:ilvl w:val="6"/>
        <w:numId w:val="4"/>
      </w:numPr>
      <w:autoSpaceDE/>
      <w:autoSpaceDN/>
      <w:spacing w:before="40"/>
      <w:outlineLvl w:val="6"/>
    </w:pPr>
    <w:rPr>
      <w:rFonts w:asciiTheme="majorHAnsi" w:eastAsiaTheme="majorEastAsia" w:hAnsiTheme="majorHAnsi" w:cstheme="majorBidi"/>
      <w:i/>
      <w:iCs/>
      <w:color w:val="243F60" w:themeColor="accent1" w:themeShade="7F"/>
      <w:sz w:val="24"/>
      <w:szCs w:val="24"/>
      <w:lang w:eastAsia="ja-JP"/>
    </w:rPr>
  </w:style>
  <w:style w:type="paragraph" w:styleId="Titre8">
    <w:name w:val="heading 8"/>
    <w:basedOn w:val="Normal"/>
    <w:next w:val="Normal"/>
    <w:link w:val="Titre8Car"/>
    <w:unhideWhenUsed/>
    <w:qFormat/>
    <w:rsid w:val="004906CE"/>
    <w:pPr>
      <w:keepNext/>
      <w:keepLines/>
      <w:widowControl/>
      <w:numPr>
        <w:ilvl w:val="7"/>
        <w:numId w:val="4"/>
      </w:numPr>
      <w:autoSpaceDE/>
      <w:autoSpaceDN/>
      <w:spacing w:before="40"/>
      <w:outlineLvl w:val="7"/>
    </w:pPr>
    <w:rPr>
      <w:rFonts w:asciiTheme="majorHAnsi" w:eastAsiaTheme="majorEastAsia" w:hAnsiTheme="majorHAnsi" w:cstheme="majorBidi"/>
      <w:color w:val="272727" w:themeColor="text1" w:themeTint="D8"/>
      <w:sz w:val="21"/>
      <w:szCs w:val="21"/>
      <w:lang w:eastAsia="ja-JP"/>
    </w:rPr>
  </w:style>
  <w:style w:type="paragraph" w:styleId="Titre9">
    <w:name w:val="heading 9"/>
    <w:basedOn w:val="Normal"/>
    <w:next w:val="Normal"/>
    <w:link w:val="Titre9Car"/>
    <w:unhideWhenUsed/>
    <w:qFormat/>
    <w:rsid w:val="004906CE"/>
    <w:pPr>
      <w:keepNext/>
      <w:keepLines/>
      <w:widowControl/>
      <w:numPr>
        <w:ilvl w:val="8"/>
        <w:numId w:val="4"/>
      </w:numPr>
      <w:autoSpaceDE/>
      <w:autoSpaceDN/>
      <w:spacing w:before="40"/>
      <w:outlineLvl w:val="8"/>
    </w:pPr>
    <w:rPr>
      <w:rFonts w:asciiTheme="majorHAnsi" w:eastAsiaTheme="majorEastAsia" w:hAnsiTheme="majorHAnsi" w:cstheme="majorBidi"/>
      <w:i/>
      <w:iCs/>
      <w:color w:val="272727" w:themeColor="text1" w:themeTint="D8"/>
      <w:sz w:val="21"/>
      <w:szCs w:val="21"/>
      <w:lang w:eastAsia="ja-JP"/>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b/>
      <w:bCs/>
      <w:sz w:val="24"/>
      <w:szCs w:val="24"/>
    </w:rPr>
  </w:style>
  <w:style w:type="paragraph" w:styleId="Paragraphedeliste">
    <w:name w:val="List Paragraph"/>
    <w:basedOn w:val="Normal"/>
    <w:uiPriority w:val="34"/>
    <w:qFormat/>
    <w:pPr>
      <w:ind w:left="1296" w:hanging="721"/>
      <w:jc w:val="both"/>
    </w:pPr>
  </w:style>
  <w:style w:type="paragraph" w:customStyle="1" w:styleId="TableParagraph">
    <w:name w:val="Table Paragraph"/>
    <w:basedOn w:val="Normal"/>
    <w:uiPriority w:val="1"/>
    <w:qFormat/>
  </w:style>
  <w:style w:type="character" w:styleId="Lienhypertexte">
    <w:name w:val="Hyperlink"/>
    <w:basedOn w:val="Policepardfaut"/>
    <w:uiPriority w:val="99"/>
    <w:unhideWhenUsed/>
    <w:rsid w:val="004B1D6E"/>
    <w:rPr>
      <w:color w:val="0000FF" w:themeColor="hyperlink"/>
      <w:u w:val="single"/>
    </w:rPr>
  </w:style>
  <w:style w:type="character" w:styleId="Mentionnonrsolue">
    <w:name w:val="Unresolved Mention"/>
    <w:basedOn w:val="Policepardfaut"/>
    <w:uiPriority w:val="99"/>
    <w:semiHidden/>
    <w:unhideWhenUsed/>
    <w:rsid w:val="004B1D6E"/>
    <w:rPr>
      <w:color w:val="605E5C"/>
      <w:shd w:val="clear" w:color="auto" w:fill="E1DFDD"/>
    </w:rPr>
  </w:style>
  <w:style w:type="character" w:customStyle="1" w:styleId="Titre1Car">
    <w:name w:val="Titre 1 Car"/>
    <w:aliases w:val="Heading 1 Char Car"/>
    <w:basedOn w:val="Policepardfaut"/>
    <w:link w:val="Titre1"/>
    <w:uiPriority w:val="9"/>
    <w:rsid w:val="004906CE"/>
    <w:rPr>
      <w:rFonts w:asciiTheme="majorHAnsi" w:eastAsiaTheme="majorEastAsia" w:hAnsiTheme="majorHAnsi" w:cstheme="majorBidi"/>
      <w:color w:val="365F91" w:themeColor="accent1" w:themeShade="BF"/>
      <w:sz w:val="32"/>
      <w:szCs w:val="32"/>
      <w:lang w:val="fr-FR"/>
    </w:rPr>
  </w:style>
  <w:style w:type="character" w:customStyle="1" w:styleId="Titre2Car">
    <w:name w:val="Titre 2 Car"/>
    <w:basedOn w:val="Policepardfaut"/>
    <w:link w:val="Titre2"/>
    <w:uiPriority w:val="9"/>
    <w:rsid w:val="004906CE"/>
    <w:rPr>
      <w:rFonts w:asciiTheme="majorHAnsi" w:eastAsiaTheme="majorEastAsia" w:hAnsiTheme="majorHAnsi" w:cstheme="majorBidi"/>
      <w:color w:val="365F91" w:themeColor="accent1" w:themeShade="BF"/>
      <w:sz w:val="26"/>
      <w:szCs w:val="26"/>
      <w:lang w:val="fr-FR"/>
    </w:rPr>
  </w:style>
  <w:style w:type="character" w:customStyle="1" w:styleId="Titre3Car">
    <w:name w:val="Titre 3 Car"/>
    <w:basedOn w:val="Policepardfaut"/>
    <w:link w:val="Titre3"/>
    <w:uiPriority w:val="9"/>
    <w:rsid w:val="004906CE"/>
    <w:rPr>
      <w:rFonts w:asciiTheme="majorHAnsi" w:eastAsiaTheme="majorEastAsia" w:hAnsiTheme="majorHAnsi" w:cstheme="majorBidi"/>
      <w:color w:val="243F60" w:themeColor="accent1" w:themeShade="7F"/>
      <w:sz w:val="24"/>
      <w:szCs w:val="24"/>
      <w:lang w:val="fr-FR"/>
    </w:rPr>
  </w:style>
  <w:style w:type="character" w:customStyle="1" w:styleId="Titre4Car">
    <w:name w:val="Titre 4 Car"/>
    <w:basedOn w:val="Policepardfaut"/>
    <w:link w:val="Titre4"/>
    <w:rsid w:val="004906CE"/>
    <w:rPr>
      <w:rFonts w:asciiTheme="majorHAnsi" w:eastAsiaTheme="majorEastAsia" w:hAnsiTheme="majorHAnsi" w:cstheme="majorBidi"/>
      <w:i/>
      <w:iCs/>
      <w:color w:val="365F91" w:themeColor="accent1" w:themeShade="BF"/>
      <w:lang w:val="fr-FR"/>
    </w:rPr>
  </w:style>
  <w:style w:type="character" w:customStyle="1" w:styleId="Titre5Car">
    <w:name w:val="Titre 5 Car"/>
    <w:basedOn w:val="Policepardfaut"/>
    <w:link w:val="Titre5"/>
    <w:rsid w:val="004906CE"/>
    <w:rPr>
      <w:rFonts w:asciiTheme="majorHAnsi" w:eastAsiaTheme="majorEastAsia" w:hAnsiTheme="majorHAnsi" w:cstheme="majorBidi"/>
      <w:color w:val="365F91" w:themeColor="accent1" w:themeShade="BF"/>
      <w:sz w:val="24"/>
      <w:szCs w:val="24"/>
      <w:lang w:val="fr-FR" w:eastAsia="ja-JP"/>
    </w:rPr>
  </w:style>
  <w:style w:type="character" w:customStyle="1" w:styleId="Titre6Car">
    <w:name w:val="Titre 6 Car"/>
    <w:basedOn w:val="Policepardfaut"/>
    <w:link w:val="Titre6"/>
    <w:uiPriority w:val="9"/>
    <w:rsid w:val="004906CE"/>
    <w:rPr>
      <w:rFonts w:asciiTheme="majorHAnsi" w:eastAsiaTheme="majorEastAsia" w:hAnsiTheme="majorHAnsi" w:cstheme="majorBidi"/>
      <w:color w:val="243F60" w:themeColor="accent1" w:themeShade="7F"/>
      <w:sz w:val="24"/>
      <w:szCs w:val="24"/>
      <w:lang w:val="fr-FR" w:eastAsia="ja-JP"/>
    </w:rPr>
  </w:style>
  <w:style w:type="character" w:customStyle="1" w:styleId="Titre7Car">
    <w:name w:val="Titre 7 Car"/>
    <w:basedOn w:val="Policepardfaut"/>
    <w:link w:val="Titre7"/>
    <w:rsid w:val="004906CE"/>
    <w:rPr>
      <w:rFonts w:asciiTheme="majorHAnsi" w:eastAsiaTheme="majorEastAsia" w:hAnsiTheme="majorHAnsi" w:cstheme="majorBidi"/>
      <w:i/>
      <w:iCs/>
      <w:color w:val="243F60" w:themeColor="accent1" w:themeShade="7F"/>
      <w:sz w:val="24"/>
      <w:szCs w:val="24"/>
      <w:lang w:val="fr-FR" w:eastAsia="ja-JP"/>
    </w:rPr>
  </w:style>
  <w:style w:type="character" w:customStyle="1" w:styleId="Titre8Car">
    <w:name w:val="Titre 8 Car"/>
    <w:basedOn w:val="Policepardfaut"/>
    <w:link w:val="Titre8"/>
    <w:rsid w:val="004906CE"/>
    <w:rPr>
      <w:rFonts w:asciiTheme="majorHAnsi" w:eastAsiaTheme="majorEastAsia" w:hAnsiTheme="majorHAnsi" w:cstheme="majorBidi"/>
      <w:color w:val="272727" w:themeColor="text1" w:themeTint="D8"/>
      <w:sz w:val="21"/>
      <w:szCs w:val="21"/>
      <w:lang w:val="fr-FR" w:eastAsia="ja-JP"/>
    </w:rPr>
  </w:style>
  <w:style w:type="character" w:customStyle="1" w:styleId="Titre9Car">
    <w:name w:val="Titre 9 Car"/>
    <w:basedOn w:val="Policepardfaut"/>
    <w:link w:val="Titre9"/>
    <w:rsid w:val="004906CE"/>
    <w:rPr>
      <w:rFonts w:asciiTheme="majorHAnsi" w:eastAsiaTheme="majorEastAsia" w:hAnsiTheme="majorHAnsi" w:cstheme="majorBidi"/>
      <w:i/>
      <w:iCs/>
      <w:color w:val="272727" w:themeColor="text1" w:themeTint="D8"/>
      <w:sz w:val="21"/>
      <w:szCs w:val="21"/>
      <w:lang w:val="fr-FR" w:eastAsia="ja-JP"/>
    </w:rPr>
  </w:style>
  <w:style w:type="character" w:styleId="Accentuation">
    <w:name w:val="Emphasis"/>
    <w:basedOn w:val="Policepardfaut"/>
    <w:uiPriority w:val="20"/>
    <w:qFormat/>
    <w:rsid w:val="00A93C3B"/>
    <w:rPr>
      <w:i/>
      <w:iCs/>
    </w:rPr>
  </w:style>
  <w:style w:type="paragraph" w:styleId="Bibliographie">
    <w:name w:val="Bibliography"/>
    <w:basedOn w:val="Normal"/>
    <w:next w:val="Normal"/>
    <w:uiPriority w:val="37"/>
    <w:unhideWhenUsed/>
    <w:rsid w:val="00711B40"/>
    <w:pPr>
      <w:tabs>
        <w:tab w:val="left" w:pos="264"/>
      </w:tabs>
      <w:spacing w:after="240"/>
      <w:ind w:left="264" w:hanging="264"/>
    </w:pPr>
  </w:style>
  <w:style w:type="character" w:styleId="Marquedecommentaire">
    <w:name w:val="annotation reference"/>
    <w:basedOn w:val="Policepardfaut"/>
    <w:uiPriority w:val="99"/>
    <w:semiHidden/>
    <w:unhideWhenUsed/>
    <w:rsid w:val="00370130"/>
    <w:rPr>
      <w:sz w:val="16"/>
      <w:szCs w:val="16"/>
    </w:rPr>
  </w:style>
  <w:style w:type="paragraph" w:styleId="Commentaire">
    <w:name w:val="annotation text"/>
    <w:basedOn w:val="Normal"/>
    <w:link w:val="CommentaireCar"/>
    <w:uiPriority w:val="99"/>
    <w:unhideWhenUsed/>
    <w:rsid w:val="00370130"/>
    <w:rPr>
      <w:sz w:val="20"/>
      <w:szCs w:val="20"/>
    </w:rPr>
  </w:style>
  <w:style w:type="character" w:customStyle="1" w:styleId="CommentaireCar">
    <w:name w:val="Commentaire Car"/>
    <w:basedOn w:val="Policepardfaut"/>
    <w:link w:val="Commentaire"/>
    <w:uiPriority w:val="99"/>
    <w:rsid w:val="00370130"/>
    <w:rPr>
      <w:rFonts w:ascii="Arial" w:eastAsia="Arial" w:hAnsi="Arial" w:cs="Arial"/>
      <w:sz w:val="20"/>
      <w:szCs w:val="20"/>
      <w:lang w:val="fr-FR"/>
    </w:rPr>
  </w:style>
  <w:style w:type="paragraph" w:styleId="Objetducommentaire">
    <w:name w:val="annotation subject"/>
    <w:basedOn w:val="Commentaire"/>
    <w:next w:val="Commentaire"/>
    <w:link w:val="ObjetducommentaireCar"/>
    <w:uiPriority w:val="99"/>
    <w:semiHidden/>
    <w:unhideWhenUsed/>
    <w:rsid w:val="00370130"/>
    <w:rPr>
      <w:b/>
      <w:bCs/>
    </w:rPr>
  </w:style>
  <w:style w:type="character" w:customStyle="1" w:styleId="ObjetducommentaireCar">
    <w:name w:val="Objet du commentaire Car"/>
    <w:basedOn w:val="CommentaireCar"/>
    <w:link w:val="Objetducommentaire"/>
    <w:uiPriority w:val="99"/>
    <w:semiHidden/>
    <w:rsid w:val="00370130"/>
    <w:rPr>
      <w:rFonts w:ascii="Arial" w:eastAsia="Arial" w:hAnsi="Arial" w:cs="Arial"/>
      <w:b/>
      <w:bCs/>
      <w:sz w:val="20"/>
      <w:szCs w:val="20"/>
      <w:lang w:val="fr-FR"/>
    </w:rPr>
  </w:style>
  <w:style w:type="paragraph" w:styleId="Rvision">
    <w:name w:val="Revision"/>
    <w:hidden/>
    <w:uiPriority w:val="99"/>
    <w:semiHidden/>
    <w:rsid w:val="00A24D60"/>
    <w:pPr>
      <w:widowControl/>
      <w:autoSpaceDE/>
      <w:autoSpaceDN/>
    </w:pPr>
    <w:rPr>
      <w:rFonts w:ascii="Arial" w:eastAsia="Arial" w:hAnsi="Arial" w:cs="Arial"/>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hyperlink" Target="mailto:francois.barde@aphp.f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5</Pages>
  <Words>5198</Words>
  <Characters>28593</Characters>
  <Application>Microsoft Office Word</Application>
  <DocSecurity>0</DocSecurity>
  <Lines>238</Lines>
  <Paragraphs>67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Launay</dc:creator>
  <cp:lastModifiedBy>Benjamin Chaigne</cp:lastModifiedBy>
  <cp:revision>26</cp:revision>
  <dcterms:created xsi:type="dcterms:W3CDTF">2022-11-24T08:45:00Z</dcterms:created>
  <dcterms:modified xsi:type="dcterms:W3CDTF">2022-12-18T07:18:00Z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2016-07-07T00:00:00Z</vt:filetime>
  </property>
  <property fmtid="{D5CDD505-2E9C-101B-9397-08002B2CF9AE}" pid="3" name="Creator">
    <vt:lpwstr>Microsoft® Office Word 2007</vt:lpwstr>
  </property>
  <property fmtid="{D5CDD505-2E9C-101B-9397-08002B2CF9AE}" pid="4" name="LastSaved">
    <vt:filetime>2022-11-20T00:00:00Z</vt:filetime>
  </property>
  <property fmtid="{D5CDD505-2E9C-101B-9397-08002B2CF9AE}" pid="5" name="ZOTERO_PREF_1">
    <vt:lpwstr>&lt;data data-version="3" zotero-version="6.0.18"&gt;&lt;session id="KWzghzVS"/&gt;&lt;style id="http://www.zotero.org/styles/vancouver" locale="fr-FR" hasBibliography="1" bibliographyStyleHasBeenSet="1"/&gt;&lt;prefs&gt;&lt;pref name="fieldType" value="Field"/&gt;&lt;/prefs&gt;&lt;/data&gt;</vt:lpwstr>
  </property>
</Properties>
</file>