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75F5" w:rsidRDefault="009B75F5" w:rsidP="00B274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040CE9">
        <w:rPr>
          <w:b/>
          <w:sz w:val="22"/>
          <w:szCs w:val="22"/>
        </w:rPr>
        <w:t xml:space="preserve">Etude ADUSE </w:t>
      </w:r>
    </w:p>
    <w:p w:rsidR="00A85524" w:rsidRPr="00040CE9" w:rsidRDefault="00840316" w:rsidP="00B274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040CE9">
        <w:rPr>
          <w:b/>
          <w:sz w:val="22"/>
          <w:szCs w:val="22"/>
        </w:rPr>
        <w:t>Injection de cellules souches mésenchymateuses autologues issues de tissu adipeux dans la prise en charge des ulcères digitaux</w:t>
      </w:r>
      <w:r w:rsidR="008A7394">
        <w:rPr>
          <w:b/>
          <w:sz w:val="22"/>
          <w:szCs w:val="22"/>
        </w:rPr>
        <w:t xml:space="preserve"> de la sclérodermie systémique.</w:t>
      </w:r>
    </w:p>
    <w:p w:rsidR="00840316" w:rsidRDefault="00840316" w:rsidP="00A85524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:rsidR="00AB425B" w:rsidRPr="00B274F5" w:rsidRDefault="00AB425B" w:rsidP="00B274F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B274F5">
        <w:rPr>
          <w:rFonts w:eastAsia="Times New Roman" w:cstheme="minorHAnsi"/>
          <w:color w:val="000000"/>
          <w:sz w:val="20"/>
          <w:szCs w:val="20"/>
          <w:lang w:eastAsia="fr-FR"/>
        </w:rPr>
        <w:t>Chers collègues,</w:t>
      </w:r>
    </w:p>
    <w:p w:rsidR="00A85524" w:rsidRPr="00B274F5" w:rsidRDefault="00A85524" w:rsidP="00B274F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:rsidR="00840316" w:rsidRPr="00B274F5" w:rsidRDefault="00AB425B" w:rsidP="00B274F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B274F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L’objectif </w:t>
      </w:r>
      <w:r w:rsidR="00840316" w:rsidRPr="00B274F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principal </w:t>
      </w:r>
      <w:r w:rsidRPr="00B274F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de cette étude est </w:t>
      </w:r>
      <w:r w:rsidR="00840316" w:rsidRPr="00B274F5">
        <w:rPr>
          <w:rFonts w:cstheme="minorHAnsi"/>
          <w:sz w:val="20"/>
          <w:szCs w:val="20"/>
        </w:rPr>
        <w:t xml:space="preserve">de comparer l’efficacité et la sécurité à 16 semaines des injections digitales d’ASC autologues versus placebo </w:t>
      </w:r>
      <w:r w:rsidR="00C07C3D">
        <w:rPr>
          <w:rFonts w:cstheme="minorHAnsi"/>
          <w:sz w:val="20"/>
          <w:szCs w:val="20"/>
        </w:rPr>
        <w:t xml:space="preserve">pour </w:t>
      </w:r>
      <w:r w:rsidR="00840316" w:rsidRPr="00B274F5">
        <w:rPr>
          <w:rFonts w:cstheme="minorHAnsi"/>
          <w:sz w:val="20"/>
          <w:szCs w:val="20"/>
        </w:rPr>
        <w:t xml:space="preserve">la cicatrisation des ulcères digitaux (UD) réfractaires ischémiques actifs (chronique </w:t>
      </w:r>
      <w:r w:rsidR="00C07C3D">
        <w:rPr>
          <w:rFonts w:cstheme="minorHAnsi"/>
          <w:sz w:val="20"/>
          <w:szCs w:val="20"/>
        </w:rPr>
        <w:t>et</w:t>
      </w:r>
      <w:r w:rsidR="00840316" w:rsidRPr="00B274F5">
        <w:rPr>
          <w:rFonts w:cstheme="minorHAnsi"/>
          <w:sz w:val="20"/>
          <w:szCs w:val="20"/>
        </w:rPr>
        <w:t>/ou récurrent dans les 3 mois suivant l’apparition de l’ulcère digital) chez les patients atteints d’une sclérodermie systémique.</w:t>
      </w:r>
      <w:r w:rsidR="00B274F5" w:rsidRPr="00B274F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proofErr w:type="spellStart"/>
      <w:r w:rsidR="00B274F5" w:rsidRPr="00B274F5">
        <w:rPr>
          <w:rFonts w:eastAsia="Times New Roman" w:cstheme="minorHAnsi"/>
          <w:color w:val="000000"/>
          <w:sz w:val="20"/>
          <w:szCs w:val="20"/>
          <w:lang w:eastAsia="fr-FR"/>
        </w:rPr>
        <w:t>ClinicalTrials</w:t>
      </w:r>
      <w:proofErr w:type="spellEnd"/>
      <w:r w:rsidR="00B274F5" w:rsidRPr="00B274F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: </w:t>
      </w:r>
      <w:hyperlink r:id="rId5" w:history="1">
        <w:r w:rsidR="00B274F5" w:rsidRPr="00B274F5">
          <w:rPr>
            <w:rStyle w:val="Lienhypertexte"/>
            <w:rFonts w:eastAsia="Times New Roman" w:cstheme="minorHAnsi"/>
            <w:sz w:val="20"/>
            <w:szCs w:val="20"/>
            <w:lang w:eastAsia="fr-FR"/>
          </w:rPr>
          <w:t>NCT04356755</w:t>
        </w:r>
      </w:hyperlink>
    </w:p>
    <w:p w:rsidR="00A85524" w:rsidRPr="00B274F5" w:rsidRDefault="00A85524" w:rsidP="00B274F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:rsidR="00A85524" w:rsidRPr="00B274F5" w:rsidRDefault="00AB425B" w:rsidP="00B274F5">
      <w:pPr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</w:pPr>
      <w:r w:rsidRPr="00B274F5"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>Objectifs</w:t>
      </w:r>
      <w:r w:rsidR="00840316" w:rsidRPr="00B274F5"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 xml:space="preserve"> secondaires</w:t>
      </w:r>
      <w:r w:rsidRPr="00B274F5"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 xml:space="preserve"> :</w:t>
      </w:r>
    </w:p>
    <w:p w:rsidR="00840316" w:rsidRPr="00B274F5" w:rsidRDefault="00061113" w:rsidP="00B274F5">
      <w:pPr>
        <w:jc w:val="both"/>
        <w:rPr>
          <w:rFonts w:cstheme="minorHAnsi"/>
          <w:color w:val="6EA0B0"/>
          <w:sz w:val="20"/>
          <w:szCs w:val="20"/>
        </w:rPr>
      </w:pPr>
      <w:r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- </w:t>
      </w:r>
      <w:r w:rsidR="00840316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>Evaluer l’efficacité des injections</w:t>
      </w:r>
      <w:r w:rsidR="00D141A2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 locales d’ASC autologues sur la cicatrisation des UD, l’absence de complications ou d’apparition de nouveaux UD, et sur la qualité de vie et l’échelle de la douleur des patients. </w:t>
      </w:r>
    </w:p>
    <w:p w:rsidR="00840316" w:rsidRPr="00B274F5" w:rsidRDefault="00061113" w:rsidP="00B274F5">
      <w:pPr>
        <w:jc w:val="both"/>
        <w:rPr>
          <w:rFonts w:cstheme="minorHAnsi"/>
          <w:color w:val="6EA0B0"/>
          <w:sz w:val="20"/>
          <w:szCs w:val="20"/>
        </w:rPr>
      </w:pPr>
      <w:r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- </w:t>
      </w:r>
      <w:r w:rsidR="00840316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>Evaluer le phénotype et le profil cytokinique</w:t>
      </w:r>
      <w:r w:rsidR="00E90D2B">
        <w:rPr>
          <w:rFonts w:eastAsiaTheme="minorEastAsia" w:cstheme="minorHAnsi"/>
          <w:color w:val="000000" w:themeColor="text1"/>
          <w:kern w:val="24"/>
          <w:sz w:val="20"/>
          <w:szCs w:val="20"/>
        </w:rPr>
        <w:t>,</w:t>
      </w:r>
      <w:r w:rsidR="00840316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 </w:t>
      </w:r>
      <w:r w:rsidR="00E90D2B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l’activité immuno-modulatoire et </w:t>
      </w:r>
      <w:proofErr w:type="spellStart"/>
      <w:r w:rsidR="00E90D2B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>angiogénique</w:t>
      </w:r>
      <w:proofErr w:type="spellEnd"/>
      <w:r w:rsidR="00E90D2B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 </w:t>
      </w:r>
      <w:r w:rsidR="00840316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>des ASC injectées.</w:t>
      </w:r>
    </w:p>
    <w:p w:rsidR="00840316" w:rsidRPr="00B274F5" w:rsidRDefault="00061113" w:rsidP="00B274F5">
      <w:pPr>
        <w:jc w:val="both"/>
        <w:rPr>
          <w:rFonts w:cstheme="minorHAnsi"/>
          <w:color w:val="6EA0B0"/>
          <w:sz w:val="20"/>
          <w:szCs w:val="20"/>
        </w:rPr>
      </w:pPr>
      <w:r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- </w:t>
      </w:r>
      <w:r w:rsidR="00840316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>Réaliser un immuno-monitori</w:t>
      </w:r>
      <w:r w:rsidR="00F347E3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>ng des biomarqueurs vasculaires et une bio-banque de sérum et de plasma.</w:t>
      </w:r>
    </w:p>
    <w:p w:rsidR="00A85524" w:rsidRPr="00B274F5" w:rsidRDefault="00A85524" w:rsidP="00B274F5">
      <w:pPr>
        <w:pStyle w:val="Paragraphedeliste"/>
        <w:jc w:val="both"/>
        <w:rPr>
          <w:rFonts w:cstheme="minorHAnsi"/>
          <w:sz w:val="20"/>
          <w:szCs w:val="20"/>
        </w:rPr>
      </w:pPr>
    </w:p>
    <w:p w:rsidR="00A85524" w:rsidRPr="00B274F5" w:rsidRDefault="00AB425B" w:rsidP="00B274F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274F5">
        <w:rPr>
          <w:rFonts w:asciiTheme="minorHAnsi" w:hAnsiTheme="minorHAnsi" w:cstheme="minorHAnsi"/>
          <w:b/>
          <w:bCs/>
          <w:sz w:val="20"/>
          <w:szCs w:val="20"/>
        </w:rPr>
        <w:t>Critères d’inclusion :</w:t>
      </w:r>
    </w:p>
    <w:p w:rsidR="00840316" w:rsidRPr="00B274F5" w:rsidRDefault="00061113" w:rsidP="00B274F5">
      <w:pPr>
        <w:jc w:val="both"/>
        <w:rPr>
          <w:rFonts w:cstheme="minorHAnsi"/>
          <w:color w:val="6EA0B0"/>
          <w:sz w:val="20"/>
          <w:szCs w:val="20"/>
        </w:rPr>
      </w:pPr>
      <w:r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- </w:t>
      </w:r>
      <w:r w:rsidR="00840316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>Patients majeurs âgés de plus de 18 ans, atteint d’une sclérodermie systémique qui répond aux critères ACR/EULAR 2013</w:t>
      </w:r>
    </w:p>
    <w:p w:rsidR="00840316" w:rsidRPr="00B274F5" w:rsidRDefault="00061113" w:rsidP="00B274F5">
      <w:pPr>
        <w:jc w:val="both"/>
        <w:rPr>
          <w:rFonts w:eastAsiaTheme="minorEastAsia" w:cstheme="minorHAnsi"/>
          <w:color w:val="000000" w:themeColor="text1"/>
          <w:kern w:val="24"/>
          <w:sz w:val="20"/>
          <w:szCs w:val="20"/>
        </w:rPr>
      </w:pPr>
      <w:r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- </w:t>
      </w:r>
      <w:r w:rsidR="00840316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Patient ayant au moins un ulcère </w:t>
      </w:r>
      <w:r w:rsidR="00703E9D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ischémique </w:t>
      </w:r>
      <w:r w:rsidR="00840316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>digital</w:t>
      </w:r>
      <w:r w:rsidR="00703E9D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 actif, </w:t>
      </w:r>
      <w:r w:rsidR="00F372BD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>localisé au</w:t>
      </w:r>
      <w:r w:rsidR="00703E9D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-delà de l'articulation inter phalangienne proximale </w:t>
      </w:r>
      <w:r w:rsidR="00E4538F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>(mais non situé sur les calcifications sous-cutanées ou le relief osseux) et r</w:t>
      </w:r>
      <w:r w:rsidR="00840316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éfractaire après 10 ± 2 </w:t>
      </w:r>
      <w:r w:rsidR="00E4538F" w:rsidRPr="00B274F5">
        <w:rPr>
          <w:rFonts w:eastAsiaTheme="minorEastAsia" w:cstheme="minorHAnsi"/>
          <w:color w:val="000000" w:themeColor="text1"/>
          <w:kern w:val="24"/>
          <w:sz w:val="20"/>
          <w:szCs w:val="20"/>
        </w:rPr>
        <w:t>semaines de traitement standard.</w:t>
      </w:r>
    </w:p>
    <w:p w:rsidR="00FC5FA0" w:rsidRPr="00B274F5" w:rsidRDefault="00FC5FA0" w:rsidP="00B274F5">
      <w:pPr>
        <w:jc w:val="both"/>
        <w:rPr>
          <w:rFonts w:cstheme="minorHAnsi"/>
          <w:color w:val="6EA0B0"/>
          <w:sz w:val="20"/>
          <w:szCs w:val="20"/>
        </w:rPr>
      </w:pPr>
    </w:p>
    <w:p w:rsidR="00A85524" w:rsidRPr="00B274F5" w:rsidRDefault="00840316" w:rsidP="00B274F5">
      <w:pPr>
        <w:jc w:val="both"/>
        <w:rPr>
          <w:rFonts w:cstheme="minorHAnsi"/>
          <w:sz w:val="20"/>
          <w:szCs w:val="20"/>
        </w:rPr>
      </w:pPr>
      <w:r w:rsidRPr="00B274F5">
        <w:rPr>
          <w:rFonts w:cstheme="minorHAnsi"/>
          <w:b/>
          <w:bCs/>
          <w:sz w:val="20"/>
          <w:szCs w:val="20"/>
        </w:rPr>
        <w:t xml:space="preserve">Critères de non inclusion </w:t>
      </w:r>
      <w:r w:rsidR="00FC5FA0" w:rsidRPr="00B274F5">
        <w:rPr>
          <w:rFonts w:cstheme="minorHAnsi"/>
          <w:b/>
          <w:bCs/>
          <w:sz w:val="20"/>
          <w:szCs w:val="20"/>
        </w:rPr>
        <w:t xml:space="preserve">(non exhaustifs) </w:t>
      </w:r>
      <w:r w:rsidRPr="00B274F5">
        <w:rPr>
          <w:rFonts w:cstheme="minorHAnsi"/>
          <w:b/>
          <w:bCs/>
          <w:sz w:val="20"/>
          <w:szCs w:val="20"/>
        </w:rPr>
        <w:t>:</w:t>
      </w:r>
    </w:p>
    <w:p w:rsidR="00C07C3D" w:rsidRDefault="00C07C3D" w:rsidP="00B274F5">
      <w:pPr>
        <w:jc w:val="both"/>
        <w:rPr>
          <w:rFonts w:cstheme="minorHAnsi"/>
          <w:b/>
          <w:i/>
          <w:sz w:val="20"/>
          <w:szCs w:val="20"/>
        </w:rPr>
      </w:pPr>
    </w:p>
    <w:p w:rsidR="00BF470F" w:rsidRPr="00B274F5" w:rsidRDefault="00BF470F" w:rsidP="00B274F5">
      <w:pPr>
        <w:jc w:val="both"/>
        <w:rPr>
          <w:rFonts w:cstheme="minorHAnsi"/>
          <w:b/>
          <w:i/>
          <w:sz w:val="20"/>
          <w:szCs w:val="20"/>
        </w:rPr>
      </w:pPr>
      <w:r w:rsidRPr="00B274F5">
        <w:rPr>
          <w:rFonts w:cstheme="minorHAnsi"/>
          <w:b/>
          <w:i/>
          <w:sz w:val="20"/>
          <w:szCs w:val="20"/>
        </w:rPr>
        <w:t>Relatifs au patient :</w:t>
      </w:r>
    </w:p>
    <w:p w:rsidR="00BF470F" w:rsidRPr="00B274F5" w:rsidRDefault="00BF470F" w:rsidP="00B274F5">
      <w:pPr>
        <w:jc w:val="both"/>
        <w:rPr>
          <w:rFonts w:cstheme="minorHAnsi"/>
          <w:sz w:val="20"/>
          <w:szCs w:val="20"/>
        </w:rPr>
      </w:pPr>
      <w:r w:rsidRPr="00B274F5">
        <w:rPr>
          <w:rFonts w:cstheme="minorHAnsi"/>
          <w:sz w:val="20"/>
          <w:szCs w:val="20"/>
        </w:rPr>
        <w:t xml:space="preserve">- Patient fumeur ou </w:t>
      </w:r>
      <w:r w:rsidR="00E90D2B">
        <w:rPr>
          <w:rFonts w:cstheme="minorHAnsi"/>
          <w:sz w:val="20"/>
          <w:szCs w:val="20"/>
        </w:rPr>
        <w:t>sevré</w:t>
      </w:r>
      <w:r w:rsidRPr="00B274F5">
        <w:rPr>
          <w:rFonts w:cstheme="minorHAnsi"/>
          <w:sz w:val="20"/>
          <w:szCs w:val="20"/>
        </w:rPr>
        <w:t xml:space="preserve"> depuis moins de 3 mois</w:t>
      </w:r>
    </w:p>
    <w:p w:rsidR="00BF470F" w:rsidRPr="00B274F5" w:rsidRDefault="00BF470F" w:rsidP="00B274F5">
      <w:pPr>
        <w:jc w:val="both"/>
        <w:rPr>
          <w:rFonts w:cstheme="minorHAnsi"/>
          <w:sz w:val="20"/>
          <w:szCs w:val="20"/>
        </w:rPr>
      </w:pPr>
      <w:r w:rsidRPr="00B274F5">
        <w:rPr>
          <w:rFonts w:cstheme="minorHAnsi"/>
          <w:sz w:val="20"/>
          <w:szCs w:val="20"/>
        </w:rPr>
        <w:t>- Patients sous</w:t>
      </w:r>
      <w:r w:rsidR="00061113" w:rsidRPr="00B274F5">
        <w:rPr>
          <w:rFonts w:cstheme="minorHAnsi"/>
          <w:sz w:val="20"/>
          <w:szCs w:val="20"/>
        </w:rPr>
        <w:t xml:space="preserve"> statines,</w:t>
      </w:r>
      <w:r w:rsidRPr="00B274F5">
        <w:rPr>
          <w:rFonts w:cstheme="minorHAnsi"/>
          <w:sz w:val="20"/>
          <w:szCs w:val="20"/>
        </w:rPr>
        <w:t xml:space="preserve"> vasodilatateurs</w:t>
      </w:r>
      <w:r w:rsidR="00061113" w:rsidRPr="00B274F5">
        <w:rPr>
          <w:sz w:val="20"/>
          <w:szCs w:val="20"/>
        </w:rPr>
        <w:t>,</w:t>
      </w:r>
      <w:r w:rsidR="00061113" w:rsidRPr="00B274F5">
        <w:rPr>
          <w:rFonts w:cstheme="minorHAnsi"/>
          <w:sz w:val="20"/>
          <w:szCs w:val="20"/>
        </w:rPr>
        <w:t xml:space="preserve"> antagonistes des canaux calciques, inhibiteurs de l’ACE, nitroglycérine, </w:t>
      </w:r>
      <w:proofErr w:type="gramStart"/>
      <w:r w:rsidR="00061113" w:rsidRPr="00B274F5">
        <w:rPr>
          <w:rFonts w:cstheme="minorHAnsi"/>
          <w:sz w:val="20"/>
          <w:szCs w:val="20"/>
        </w:rPr>
        <w:t>α</w:t>
      </w:r>
      <w:proofErr w:type="gramEnd"/>
      <w:r w:rsidR="00061113" w:rsidRPr="00B274F5">
        <w:rPr>
          <w:rFonts w:cstheme="minorHAnsi"/>
          <w:sz w:val="20"/>
          <w:szCs w:val="20"/>
        </w:rPr>
        <w:t>-bloquants adrénergiques, antagonistes des récepteurs adrénergiques ou de l’angiotensine II, N-acétylcystéine ou héparine de bas poids moléculaire</w:t>
      </w:r>
      <w:r w:rsidRPr="00B274F5">
        <w:rPr>
          <w:rFonts w:cstheme="minorHAnsi"/>
          <w:sz w:val="20"/>
          <w:szCs w:val="20"/>
        </w:rPr>
        <w:t xml:space="preserve"> depuis moins de 3 mois </w:t>
      </w:r>
      <w:r w:rsidR="00061113" w:rsidRPr="00B274F5">
        <w:rPr>
          <w:rFonts w:cstheme="minorHAnsi"/>
          <w:sz w:val="20"/>
          <w:szCs w:val="20"/>
        </w:rPr>
        <w:t>ou non stable depuis 1 mois.</w:t>
      </w:r>
    </w:p>
    <w:p w:rsidR="00BF470F" w:rsidRPr="00B274F5" w:rsidRDefault="00BF470F" w:rsidP="00B274F5">
      <w:pPr>
        <w:jc w:val="both"/>
        <w:rPr>
          <w:rFonts w:cstheme="minorHAnsi"/>
          <w:sz w:val="20"/>
          <w:szCs w:val="20"/>
        </w:rPr>
      </w:pPr>
      <w:r w:rsidRPr="00B274F5">
        <w:rPr>
          <w:rFonts w:cstheme="minorHAnsi"/>
          <w:sz w:val="20"/>
          <w:szCs w:val="20"/>
        </w:rPr>
        <w:t>- Antibiotiques systémiques (par voie orale et IV) permettant de traiter les U</w:t>
      </w:r>
      <w:r w:rsidR="00061113" w:rsidRPr="00B274F5">
        <w:rPr>
          <w:rFonts w:cstheme="minorHAnsi"/>
          <w:sz w:val="20"/>
          <w:szCs w:val="20"/>
        </w:rPr>
        <w:t>D infectées dans les 4 semaines</w:t>
      </w:r>
    </w:p>
    <w:p w:rsidR="00BF470F" w:rsidRPr="00B274F5" w:rsidRDefault="00BF470F" w:rsidP="00B274F5">
      <w:pPr>
        <w:jc w:val="both"/>
        <w:rPr>
          <w:rFonts w:cstheme="minorHAnsi"/>
          <w:sz w:val="20"/>
          <w:szCs w:val="20"/>
        </w:rPr>
      </w:pPr>
      <w:r w:rsidRPr="00B274F5">
        <w:rPr>
          <w:rFonts w:cstheme="minorHAnsi"/>
          <w:sz w:val="20"/>
          <w:szCs w:val="20"/>
        </w:rPr>
        <w:t xml:space="preserve">- Injection locale de toxine botulique dans un doigt dans les 4 semaines </w:t>
      </w:r>
    </w:p>
    <w:p w:rsidR="00BF470F" w:rsidRPr="00B274F5" w:rsidRDefault="00BF470F" w:rsidP="00B274F5">
      <w:pPr>
        <w:jc w:val="both"/>
        <w:rPr>
          <w:rFonts w:cstheme="minorHAnsi"/>
          <w:sz w:val="20"/>
          <w:szCs w:val="20"/>
        </w:rPr>
      </w:pPr>
      <w:r w:rsidRPr="00B274F5">
        <w:rPr>
          <w:rFonts w:cstheme="minorHAnsi"/>
          <w:sz w:val="20"/>
          <w:szCs w:val="20"/>
        </w:rPr>
        <w:t xml:space="preserve">- Sympathectomie chirurgicale des membres supérieurs ou débridement de la plaie </w:t>
      </w:r>
      <w:r w:rsidR="00F347E3" w:rsidRPr="00B274F5">
        <w:rPr>
          <w:rFonts w:cstheme="minorHAnsi"/>
          <w:sz w:val="20"/>
          <w:szCs w:val="20"/>
        </w:rPr>
        <w:t>de moins d’un mois,</w:t>
      </w:r>
    </w:p>
    <w:p w:rsidR="00BF470F" w:rsidRPr="00B274F5" w:rsidRDefault="00BF470F" w:rsidP="00B274F5">
      <w:pPr>
        <w:jc w:val="both"/>
        <w:rPr>
          <w:rFonts w:cstheme="minorHAnsi"/>
          <w:sz w:val="20"/>
          <w:szCs w:val="20"/>
        </w:rPr>
      </w:pPr>
      <w:r w:rsidRPr="00B274F5">
        <w:rPr>
          <w:rFonts w:cstheme="minorHAnsi"/>
          <w:sz w:val="20"/>
          <w:szCs w:val="20"/>
        </w:rPr>
        <w:t xml:space="preserve">- Patient ayant subi une greffe de cellules souches hématopoïétiques (HSCT) autologue </w:t>
      </w:r>
    </w:p>
    <w:p w:rsidR="00BF470F" w:rsidRPr="00B274F5" w:rsidRDefault="00BF470F" w:rsidP="00B274F5">
      <w:pPr>
        <w:jc w:val="both"/>
        <w:rPr>
          <w:rFonts w:cstheme="minorHAnsi"/>
          <w:sz w:val="20"/>
          <w:szCs w:val="20"/>
        </w:rPr>
      </w:pPr>
      <w:r w:rsidRPr="00B274F5">
        <w:rPr>
          <w:rFonts w:cstheme="minorHAnsi"/>
          <w:sz w:val="20"/>
          <w:szCs w:val="20"/>
        </w:rPr>
        <w:t>- Patients avec indication d'int</w:t>
      </w:r>
      <w:r w:rsidR="00061113" w:rsidRPr="00B274F5">
        <w:rPr>
          <w:rFonts w:cstheme="minorHAnsi"/>
          <w:sz w:val="20"/>
          <w:szCs w:val="20"/>
        </w:rPr>
        <w:t>ensification par HSCT autologue</w:t>
      </w:r>
    </w:p>
    <w:p w:rsidR="00FC5FA0" w:rsidRPr="00B274F5" w:rsidRDefault="00FC5FA0" w:rsidP="00B274F5">
      <w:pPr>
        <w:jc w:val="both"/>
        <w:rPr>
          <w:rFonts w:cstheme="minorHAnsi"/>
          <w:sz w:val="20"/>
          <w:szCs w:val="20"/>
        </w:rPr>
      </w:pPr>
      <w:r w:rsidRPr="00B274F5">
        <w:rPr>
          <w:rFonts w:cstheme="minorHAnsi"/>
          <w:sz w:val="20"/>
          <w:szCs w:val="20"/>
        </w:rPr>
        <w:t xml:space="preserve">- Antécédents de cancer au cours des cinq dernières années, </w:t>
      </w:r>
    </w:p>
    <w:p w:rsidR="00BF470F" w:rsidRPr="00B274F5" w:rsidRDefault="00BF470F" w:rsidP="00B274F5">
      <w:pPr>
        <w:jc w:val="both"/>
        <w:rPr>
          <w:rFonts w:cstheme="minorHAnsi"/>
          <w:sz w:val="20"/>
          <w:szCs w:val="20"/>
        </w:rPr>
      </w:pPr>
      <w:r w:rsidRPr="00B274F5">
        <w:rPr>
          <w:rFonts w:cstheme="minorHAnsi"/>
          <w:sz w:val="20"/>
          <w:szCs w:val="20"/>
        </w:rPr>
        <w:t>- Séropositivité à VIH-1 ou 2, HTLV-1 ou 2, VHB ou VHC</w:t>
      </w:r>
    </w:p>
    <w:p w:rsidR="00C07C3D" w:rsidRDefault="00C07C3D" w:rsidP="00B274F5">
      <w:pPr>
        <w:jc w:val="both"/>
        <w:rPr>
          <w:rFonts w:cstheme="minorHAnsi"/>
          <w:sz w:val="20"/>
          <w:szCs w:val="20"/>
        </w:rPr>
      </w:pPr>
    </w:p>
    <w:p w:rsidR="00BF470F" w:rsidRPr="00B274F5" w:rsidRDefault="00BF470F" w:rsidP="00B274F5">
      <w:pPr>
        <w:jc w:val="both"/>
        <w:rPr>
          <w:rFonts w:cstheme="minorHAnsi"/>
          <w:b/>
          <w:i/>
          <w:sz w:val="20"/>
          <w:szCs w:val="20"/>
        </w:rPr>
      </w:pPr>
      <w:r w:rsidRPr="00B274F5">
        <w:rPr>
          <w:rFonts w:cstheme="minorHAnsi"/>
          <w:b/>
          <w:i/>
          <w:sz w:val="20"/>
          <w:szCs w:val="20"/>
        </w:rPr>
        <w:t>Relatif à chaque UD :</w:t>
      </w:r>
    </w:p>
    <w:p w:rsidR="00840316" w:rsidRPr="00B274F5" w:rsidRDefault="00BF470F" w:rsidP="00B274F5">
      <w:pPr>
        <w:jc w:val="both"/>
        <w:rPr>
          <w:rFonts w:cstheme="minorHAnsi"/>
          <w:sz w:val="20"/>
          <w:szCs w:val="20"/>
        </w:rPr>
      </w:pPr>
      <w:r w:rsidRPr="00B274F5">
        <w:rPr>
          <w:rFonts w:cstheme="minorHAnsi"/>
          <w:sz w:val="20"/>
          <w:szCs w:val="20"/>
        </w:rPr>
        <w:t>- Ulcère digital dû à des affections autres que la sclérodermie, non ischémique, avec ostéomyélite ou infection cliniquement non contrôlée, infecté nécessitant une antibiothérapie systémique ou nécessitant une intervention chirurgicale urgente.</w:t>
      </w:r>
    </w:p>
    <w:p w:rsidR="00BF470F" w:rsidRPr="00B274F5" w:rsidRDefault="00BF470F" w:rsidP="00B274F5">
      <w:pPr>
        <w:jc w:val="both"/>
        <w:rPr>
          <w:rFonts w:eastAsia="Times New Roman" w:cstheme="minorHAnsi"/>
          <w:bCs/>
          <w:color w:val="000000"/>
          <w:sz w:val="20"/>
          <w:szCs w:val="20"/>
          <w:lang w:eastAsia="fr-FR"/>
        </w:rPr>
      </w:pPr>
    </w:p>
    <w:p w:rsidR="00A85524" w:rsidRPr="00B274F5" w:rsidRDefault="00AB425B" w:rsidP="00B274F5">
      <w:pPr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</w:pPr>
      <w:r w:rsidRPr="00B274F5"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>Méthodologie : </w:t>
      </w:r>
    </w:p>
    <w:p w:rsidR="00840316" w:rsidRPr="00B274F5" w:rsidRDefault="00840316" w:rsidP="00B274F5">
      <w:pPr>
        <w:jc w:val="both"/>
        <w:rPr>
          <w:rFonts w:cstheme="minorHAnsi"/>
          <w:sz w:val="20"/>
          <w:szCs w:val="20"/>
        </w:rPr>
      </w:pPr>
      <w:r w:rsidRPr="00B274F5">
        <w:rPr>
          <w:rFonts w:cstheme="minorHAnsi"/>
          <w:sz w:val="20"/>
          <w:szCs w:val="20"/>
        </w:rPr>
        <w:t>Phase II, multicentrique, prospective, randomisée,</w:t>
      </w:r>
      <w:r w:rsidR="008A7394" w:rsidRPr="00B274F5">
        <w:rPr>
          <w:rFonts w:cstheme="minorHAnsi"/>
          <w:sz w:val="20"/>
          <w:szCs w:val="20"/>
        </w:rPr>
        <w:t xml:space="preserve"> contrôlée vs placebo. Patients </w:t>
      </w:r>
      <w:r w:rsidRPr="00B274F5">
        <w:rPr>
          <w:rFonts w:cstheme="minorHAnsi"/>
          <w:sz w:val="20"/>
          <w:szCs w:val="20"/>
        </w:rPr>
        <w:t>suivis pendant 16 semaines.</w:t>
      </w:r>
    </w:p>
    <w:p w:rsidR="00040CE9" w:rsidRDefault="00040CE9" w:rsidP="00B274F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:rsidR="00040CE9" w:rsidRDefault="00040CE9" w:rsidP="00B274F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040CE9">
        <w:rPr>
          <w:rFonts w:eastAsia="Times New Roman" w:cstheme="minorHAnsi"/>
          <w:b/>
          <w:color w:val="000000"/>
          <w:sz w:val="20"/>
          <w:szCs w:val="20"/>
          <w:lang w:eastAsia="fr-FR"/>
        </w:rPr>
        <w:t>Contacts 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</w:p>
    <w:p w:rsidR="008A7394" w:rsidRDefault="008A7394" w:rsidP="00B274F5">
      <w:pPr>
        <w:jc w:val="both"/>
        <w:rPr>
          <w:rFonts w:eastAsia="Times New Roman" w:cstheme="minorHAnsi"/>
          <w:i/>
          <w:color w:val="000000"/>
          <w:sz w:val="20"/>
          <w:szCs w:val="20"/>
          <w:lang w:eastAsia="fr-FR"/>
        </w:rPr>
        <w:sectPr w:rsidR="008A7394" w:rsidSect="008F7045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040CE9" w:rsidRPr="00040CE9" w:rsidRDefault="00040CE9" w:rsidP="00B274F5">
      <w:pPr>
        <w:jc w:val="both"/>
        <w:rPr>
          <w:rFonts w:eastAsia="Times New Roman" w:cstheme="minorHAnsi"/>
          <w:i/>
          <w:color w:val="000000"/>
          <w:sz w:val="20"/>
          <w:szCs w:val="20"/>
          <w:lang w:eastAsia="fr-FR"/>
        </w:rPr>
      </w:pPr>
      <w:r w:rsidRPr="00040CE9">
        <w:rPr>
          <w:rFonts w:eastAsia="Times New Roman" w:cstheme="minorHAnsi"/>
          <w:i/>
          <w:color w:val="000000"/>
          <w:sz w:val="20"/>
          <w:szCs w:val="20"/>
          <w:lang w:eastAsia="fr-FR"/>
        </w:rPr>
        <w:t xml:space="preserve">Investigateur Coordonnateur : </w:t>
      </w:r>
    </w:p>
    <w:p w:rsidR="00040CE9" w:rsidRDefault="00040CE9" w:rsidP="00B274F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Dr Grégory PUGNET</w:t>
      </w:r>
    </w:p>
    <w:p w:rsidR="00040CE9" w:rsidRDefault="00040CE9" w:rsidP="00B274F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Tel : 05 61 77 71 26</w:t>
      </w:r>
    </w:p>
    <w:p w:rsidR="00040CE9" w:rsidRDefault="008A7394" w:rsidP="00B274F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Mail</w:t>
      </w:r>
      <w:r w:rsidR="00040CE9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hyperlink r:id="rId6" w:history="1">
        <w:r w:rsidR="00040CE9" w:rsidRPr="008108EE">
          <w:rPr>
            <w:rStyle w:val="Lienhypertexte"/>
            <w:rFonts w:eastAsia="Times New Roman" w:cstheme="minorHAnsi"/>
            <w:sz w:val="20"/>
            <w:szCs w:val="20"/>
            <w:lang w:eastAsia="fr-FR"/>
          </w:rPr>
          <w:t>pugnet.g@chu-toulouse.fr</w:t>
        </w:r>
      </w:hyperlink>
      <w:r w:rsidR="00040CE9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</w:p>
    <w:p w:rsidR="00040CE9" w:rsidRPr="00040CE9" w:rsidRDefault="00040CE9" w:rsidP="00B274F5">
      <w:pPr>
        <w:jc w:val="both"/>
        <w:rPr>
          <w:rFonts w:eastAsia="Times New Roman" w:cstheme="minorHAnsi"/>
          <w:i/>
          <w:color w:val="000000"/>
          <w:sz w:val="20"/>
          <w:szCs w:val="20"/>
          <w:lang w:eastAsia="fr-FR"/>
        </w:rPr>
      </w:pPr>
      <w:r w:rsidRPr="00040CE9">
        <w:rPr>
          <w:rFonts w:eastAsia="Times New Roman" w:cstheme="minorHAnsi"/>
          <w:i/>
          <w:color w:val="000000"/>
          <w:sz w:val="20"/>
          <w:szCs w:val="20"/>
          <w:lang w:eastAsia="fr-FR"/>
        </w:rPr>
        <w:t xml:space="preserve">Module Biothérapies CIC 1436 Toulouse : </w:t>
      </w:r>
    </w:p>
    <w:p w:rsidR="008A7394" w:rsidRDefault="00040CE9" w:rsidP="00B274F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040CE9">
        <w:rPr>
          <w:rFonts w:eastAsia="Times New Roman" w:cstheme="minorHAnsi"/>
          <w:color w:val="000000"/>
          <w:sz w:val="20"/>
          <w:szCs w:val="20"/>
          <w:lang w:eastAsia="fr-FR"/>
        </w:rPr>
        <w:t>M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arine </w:t>
      </w:r>
      <w:r w:rsidRPr="00040CE9">
        <w:rPr>
          <w:rFonts w:eastAsia="Times New Roman" w:cstheme="minorHAnsi"/>
          <w:color w:val="000000"/>
          <w:sz w:val="20"/>
          <w:szCs w:val="20"/>
          <w:lang w:eastAsia="fr-FR"/>
        </w:rPr>
        <w:t>LEBRIN-SERRENTINO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 ; </w:t>
      </w:r>
      <w:r w:rsidRPr="00040CE9">
        <w:rPr>
          <w:rFonts w:eastAsia="Times New Roman" w:cstheme="minorHAnsi"/>
          <w:color w:val="000000"/>
          <w:sz w:val="20"/>
          <w:szCs w:val="20"/>
          <w:lang w:eastAsia="fr-FR"/>
        </w:rPr>
        <w:t>L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aetitia </w:t>
      </w:r>
      <w:r w:rsidRPr="00040CE9">
        <w:rPr>
          <w:rFonts w:eastAsia="Times New Roman" w:cstheme="minorHAnsi"/>
          <w:color w:val="000000"/>
          <w:sz w:val="20"/>
          <w:szCs w:val="20"/>
          <w:lang w:eastAsia="fr-FR"/>
        </w:rPr>
        <w:t>BUGAREL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 ; Fabian </w:t>
      </w:r>
      <w:r w:rsidR="008A7394">
        <w:rPr>
          <w:rFonts w:eastAsia="Times New Roman" w:cstheme="minorHAnsi"/>
          <w:color w:val="000000"/>
          <w:sz w:val="20"/>
          <w:szCs w:val="20"/>
          <w:lang w:eastAsia="fr-FR"/>
        </w:rPr>
        <w:t>GROSS</w:t>
      </w:r>
    </w:p>
    <w:p w:rsidR="008A7394" w:rsidRDefault="00040CE9" w:rsidP="00B274F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Tel : </w:t>
      </w:r>
      <w:r w:rsidRPr="00040CE9">
        <w:rPr>
          <w:rFonts w:eastAsia="Times New Roman" w:cstheme="minorHAnsi"/>
          <w:color w:val="000000"/>
          <w:sz w:val="20"/>
          <w:szCs w:val="20"/>
          <w:lang w:eastAsia="fr-FR"/>
        </w:rPr>
        <w:t>05 61 32 37 24</w:t>
      </w:r>
    </w:p>
    <w:p w:rsidR="00040CE9" w:rsidRPr="008A7394" w:rsidRDefault="008A7394" w:rsidP="00B274F5">
      <w:pPr>
        <w:jc w:val="both"/>
        <w:rPr>
          <w:rStyle w:val="Lienhypertexte"/>
          <w:rFonts w:eastAsia="Times New Roman" w:cstheme="minorHAnsi"/>
          <w:color w:val="000000"/>
          <w:sz w:val="20"/>
          <w:szCs w:val="20"/>
          <w:u w:val="none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Mail </w:t>
      </w:r>
      <w:hyperlink r:id="rId7" w:history="1">
        <w:r w:rsidR="00040CE9" w:rsidRPr="008A7394">
          <w:rPr>
            <w:rStyle w:val="Lienhypertexte"/>
            <w:rFonts w:eastAsia="Times New Roman" w:cstheme="minorHAnsi"/>
            <w:sz w:val="18"/>
            <w:szCs w:val="20"/>
            <w:lang w:eastAsia="fr-FR"/>
          </w:rPr>
          <w:t>lebrin.m@chu-toulouse.fr</w:t>
        </w:r>
      </w:hyperlink>
      <w:r w:rsidR="00040CE9" w:rsidRPr="008A7394">
        <w:rPr>
          <w:rFonts w:eastAsia="Times New Roman" w:cstheme="minorHAnsi"/>
          <w:color w:val="000000"/>
          <w:sz w:val="18"/>
          <w:szCs w:val="20"/>
          <w:lang w:eastAsia="fr-FR"/>
        </w:rPr>
        <w:t xml:space="preserve"> ; </w:t>
      </w:r>
      <w:hyperlink r:id="rId8" w:history="1">
        <w:r w:rsidR="00040CE9" w:rsidRPr="008A7394">
          <w:rPr>
            <w:rStyle w:val="Lienhypertexte"/>
            <w:rFonts w:eastAsia="Times New Roman" w:cstheme="minorHAnsi"/>
            <w:sz w:val="18"/>
            <w:szCs w:val="20"/>
            <w:lang w:eastAsia="fr-FR"/>
          </w:rPr>
          <w:t>bugarel.l@chu-toulouse.fr</w:t>
        </w:r>
      </w:hyperlink>
      <w:r w:rsidR="00040CE9" w:rsidRPr="008A7394">
        <w:rPr>
          <w:rFonts w:eastAsia="Times New Roman" w:cstheme="minorHAnsi"/>
          <w:color w:val="000000"/>
          <w:sz w:val="18"/>
          <w:szCs w:val="20"/>
          <w:lang w:eastAsia="fr-FR"/>
        </w:rPr>
        <w:t xml:space="preserve"> ; </w:t>
      </w:r>
      <w:hyperlink r:id="rId9" w:history="1">
        <w:r w:rsidR="00040CE9" w:rsidRPr="008A7394">
          <w:rPr>
            <w:rStyle w:val="Lienhypertexte"/>
            <w:rFonts w:eastAsia="Times New Roman" w:cstheme="minorHAnsi"/>
            <w:sz w:val="18"/>
            <w:szCs w:val="20"/>
            <w:lang w:eastAsia="fr-FR"/>
          </w:rPr>
          <w:t>gross.f@chu-toulouse.fr</w:t>
        </w:r>
      </w:hyperlink>
    </w:p>
    <w:p w:rsidR="008A7394" w:rsidRPr="008A7394" w:rsidRDefault="008A7394" w:rsidP="00B274F5">
      <w:pPr>
        <w:jc w:val="both"/>
        <w:rPr>
          <w:rStyle w:val="Lienhypertexte"/>
          <w:rFonts w:eastAsia="Times New Roman" w:cstheme="minorHAnsi"/>
          <w:sz w:val="18"/>
          <w:szCs w:val="20"/>
          <w:lang w:eastAsia="fr-FR"/>
        </w:rPr>
        <w:sectPr w:rsidR="008A7394" w:rsidRPr="008A7394" w:rsidSect="008A7394">
          <w:type w:val="continuous"/>
          <w:pgSz w:w="11900" w:h="16840"/>
          <w:pgMar w:top="1417" w:right="1417" w:bottom="1417" w:left="1417" w:header="708" w:footer="708" w:gutter="0"/>
          <w:cols w:num="2" w:space="170" w:equalWidth="0">
            <w:col w:w="2665" w:space="170"/>
            <w:col w:w="6231"/>
          </w:cols>
          <w:docGrid w:linePitch="360"/>
        </w:sectPr>
      </w:pPr>
    </w:p>
    <w:p w:rsidR="00040CE9" w:rsidRDefault="00AB425B" w:rsidP="00B274F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840316">
        <w:rPr>
          <w:rFonts w:eastAsia="Times New Roman" w:cstheme="minorHAnsi"/>
          <w:color w:val="000000"/>
          <w:sz w:val="20"/>
          <w:szCs w:val="20"/>
          <w:lang w:eastAsia="fr-FR"/>
        </w:rPr>
        <w:br/>
        <w:t>Merci de votre participation</w:t>
      </w:r>
      <w:r w:rsidR="00B274F5">
        <w:rPr>
          <w:rFonts w:eastAsia="Times New Roman" w:cstheme="minorHAnsi"/>
          <w:color w:val="000000"/>
          <w:sz w:val="20"/>
          <w:szCs w:val="20"/>
          <w:lang w:eastAsia="fr-FR"/>
        </w:rPr>
        <w:t>, b</w:t>
      </w:r>
      <w:r w:rsidRPr="00840316">
        <w:rPr>
          <w:rFonts w:eastAsia="Times New Roman" w:cstheme="minorHAnsi"/>
          <w:color w:val="000000"/>
          <w:sz w:val="20"/>
          <w:szCs w:val="20"/>
          <w:lang w:eastAsia="fr-FR"/>
        </w:rPr>
        <w:t>ien cordialement</w:t>
      </w:r>
      <w:r w:rsidR="00040CE9">
        <w:rPr>
          <w:rFonts w:eastAsia="Times New Roman" w:cstheme="minorHAnsi"/>
          <w:color w:val="000000"/>
          <w:sz w:val="20"/>
          <w:szCs w:val="20"/>
          <w:lang w:eastAsia="fr-FR"/>
        </w:rPr>
        <w:t>,</w:t>
      </w:r>
    </w:p>
    <w:p w:rsidR="00EA14C5" w:rsidRDefault="00EA14C5" w:rsidP="00B274F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:rsidR="005C016E" w:rsidRPr="00875801" w:rsidRDefault="00840316" w:rsidP="00781DBF">
      <w:pPr>
        <w:rPr>
          <w:rFonts w:cstheme="minorHAnsi"/>
          <w:b/>
          <w:sz w:val="20"/>
          <w:szCs w:val="20"/>
        </w:rPr>
      </w:pPr>
      <w:r w:rsidRPr="00875801">
        <w:rPr>
          <w:rFonts w:cstheme="minorHAnsi"/>
          <w:b/>
          <w:bCs/>
          <w:sz w:val="20"/>
          <w:szCs w:val="20"/>
        </w:rPr>
        <w:t>Dr</w:t>
      </w:r>
      <w:r w:rsidR="00A85524" w:rsidRPr="00875801">
        <w:rPr>
          <w:rFonts w:cstheme="minorHAnsi"/>
          <w:b/>
          <w:bCs/>
          <w:sz w:val="20"/>
          <w:szCs w:val="20"/>
        </w:rPr>
        <w:t xml:space="preserve"> Grégory Pugnet</w:t>
      </w:r>
    </w:p>
    <w:sectPr w:rsidR="005C016E" w:rsidRPr="00875801" w:rsidSect="008A7394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A0D35"/>
    <w:multiLevelType w:val="multilevel"/>
    <w:tmpl w:val="D118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C16C3"/>
    <w:multiLevelType w:val="hybridMultilevel"/>
    <w:tmpl w:val="320C3D8A"/>
    <w:lvl w:ilvl="0" w:tplc="1090C892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861EF"/>
    <w:multiLevelType w:val="hybridMultilevel"/>
    <w:tmpl w:val="B1EC4F48"/>
    <w:lvl w:ilvl="0" w:tplc="F6744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92F34E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6E29E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A6DD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0CF6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94F8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48AA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0469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321D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BE9406F"/>
    <w:multiLevelType w:val="multilevel"/>
    <w:tmpl w:val="55D2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14470"/>
    <w:multiLevelType w:val="hybridMultilevel"/>
    <w:tmpl w:val="D9449EFC"/>
    <w:lvl w:ilvl="0" w:tplc="E466CB2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B5DBD"/>
    <w:multiLevelType w:val="hybridMultilevel"/>
    <w:tmpl w:val="DBEEF57A"/>
    <w:lvl w:ilvl="0" w:tplc="075492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7AC22C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0F666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6CA7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EE77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184D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DA5D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0E33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908D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8A87D86"/>
    <w:multiLevelType w:val="multilevel"/>
    <w:tmpl w:val="87EE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25B"/>
    <w:rsid w:val="0002605D"/>
    <w:rsid w:val="00040CE9"/>
    <w:rsid w:val="00061113"/>
    <w:rsid w:val="00270F64"/>
    <w:rsid w:val="003861CE"/>
    <w:rsid w:val="00533240"/>
    <w:rsid w:val="005C016E"/>
    <w:rsid w:val="00703E9D"/>
    <w:rsid w:val="00781DBF"/>
    <w:rsid w:val="007A2E37"/>
    <w:rsid w:val="00840316"/>
    <w:rsid w:val="00875801"/>
    <w:rsid w:val="008A7394"/>
    <w:rsid w:val="008D5A8B"/>
    <w:rsid w:val="008F4DBA"/>
    <w:rsid w:val="008F7045"/>
    <w:rsid w:val="00957DF6"/>
    <w:rsid w:val="009B75F5"/>
    <w:rsid w:val="00A83363"/>
    <w:rsid w:val="00A85524"/>
    <w:rsid w:val="00AB425B"/>
    <w:rsid w:val="00B274F5"/>
    <w:rsid w:val="00BA76C3"/>
    <w:rsid w:val="00BF470F"/>
    <w:rsid w:val="00C07C3D"/>
    <w:rsid w:val="00C6020A"/>
    <w:rsid w:val="00D141A2"/>
    <w:rsid w:val="00D22768"/>
    <w:rsid w:val="00D525FF"/>
    <w:rsid w:val="00DC7415"/>
    <w:rsid w:val="00DE39BE"/>
    <w:rsid w:val="00E45136"/>
    <w:rsid w:val="00E4538F"/>
    <w:rsid w:val="00E90D2B"/>
    <w:rsid w:val="00EA14C5"/>
    <w:rsid w:val="00F347E3"/>
    <w:rsid w:val="00F372BD"/>
    <w:rsid w:val="00FC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141A"/>
  <w15:chartTrackingRefBased/>
  <w15:docId w15:val="{981B74CE-C52B-CD4B-97B3-0503AAD5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B425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B425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AB425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B42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42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B425B"/>
  </w:style>
  <w:style w:type="character" w:styleId="Accentuation">
    <w:name w:val="Emphasis"/>
    <w:basedOn w:val="Policepardfaut"/>
    <w:uiPriority w:val="20"/>
    <w:qFormat/>
    <w:rsid w:val="00AB425B"/>
    <w:rPr>
      <w:i/>
      <w:iCs/>
    </w:rPr>
  </w:style>
  <w:style w:type="paragraph" w:styleId="Paragraphedeliste">
    <w:name w:val="List Paragraph"/>
    <w:basedOn w:val="Normal"/>
    <w:uiPriority w:val="34"/>
    <w:qFormat/>
    <w:rsid w:val="00A85524"/>
    <w:pPr>
      <w:ind w:left="720"/>
      <w:contextualSpacing/>
    </w:pPr>
  </w:style>
  <w:style w:type="paragraph" w:customStyle="1" w:styleId="Default">
    <w:name w:val="Default"/>
    <w:uiPriority w:val="99"/>
    <w:rsid w:val="00A8552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7C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32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CE1F1"/>
            <w:bottom w:val="none" w:sz="0" w:space="0" w:color="auto"/>
            <w:right w:val="none" w:sz="0" w:space="0" w:color="auto"/>
          </w:divBdr>
          <w:divsChild>
            <w:div w:id="13245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86000"/>
            <w:right w:val="none" w:sz="0" w:space="0" w:color="auto"/>
          </w:divBdr>
        </w:div>
        <w:div w:id="975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rin.m@chu-toulous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brin.m@chu-toulous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gnet.g@chu-toulouse.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inicaltrials.gov/ct2/show/NCT04356755?term=ADUSE&amp;draw=2&amp;rank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oss.f@chu-toulou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PUGNET</dc:creator>
  <cp:keywords/>
  <dc:description/>
  <cp:lastModifiedBy>Lilian PUGNET</cp:lastModifiedBy>
  <cp:revision>2</cp:revision>
  <cp:lastPrinted>2020-06-16T08:42:00Z</cp:lastPrinted>
  <dcterms:created xsi:type="dcterms:W3CDTF">2020-06-18T06:35:00Z</dcterms:created>
  <dcterms:modified xsi:type="dcterms:W3CDTF">2020-06-18T06:35:00Z</dcterms:modified>
</cp:coreProperties>
</file>